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349B" w:rsidRPr="009D0841" w:rsidRDefault="0018349B" w:rsidP="007C2BE0">
      <w:pPr>
        <w:autoSpaceDE w:val="0"/>
        <w:autoSpaceDN w:val="0"/>
        <w:adjustRightInd w:val="0"/>
        <w:spacing w:after="0"/>
        <w:jc w:val="center"/>
        <w:rPr>
          <w:b/>
          <w:sz w:val="20"/>
          <w:szCs w:val="20"/>
          <w:lang w:val="en-US"/>
        </w:rPr>
      </w:pPr>
      <w:bookmarkStart w:id="0" w:name="_GoBack"/>
      <w:bookmarkEnd w:id="0"/>
      <w:r w:rsidRPr="009D0841">
        <w:rPr>
          <w:b/>
          <w:sz w:val="20"/>
          <w:szCs w:val="20"/>
          <w:lang w:val="en-US"/>
        </w:rPr>
        <w:t>REFERENCA</w:t>
      </w:r>
    </w:p>
    <w:p w:rsidR="003C14E1" w:rsidRPr="009D0841" w:rsidRDefault="003C14E1" w:rsidP="007C2BE0">
      <w:pPr>
        <w:pStyle w:val="Default"/>
        <w:spacing w:line="276" w:lineRule="auto"/>
        <w:ind w:left="360"/>
        <w:rPr>
          <w:rFonts w:ascii="Times New Roman" w:hAnsi="Times New Roman" w:cs="Times New Roman"/>
          <w:sz w:val="20"/>
          <w:szCs w:val="20"/>
          <w:lang w:val="en-US"/>
        </w:rPr>
      </w:pPr>
      <w:r w:rsidRPr="009D0841">
        <w:rPr>
          <w:rFonts w:ascii="Times New Roman" w:hAnsi="Times New Roman" w:cs="Times New Roman"/>
          <w:sz w:val="20"/>
          <w:szCs w:val="20"/>
          <w:lang w:val="en-US"/>
        </w:rPr>
        <w:t>1.World Health Organization. WHO Global Patient Safety Challenge: Medication without harm. Geneva: WHO; May</w:t>
      </w:r>
      <w:r w:rsidR="00D2356A">
        <w:rPr>
          <w:rFonts w:ascii="Times New Roman" w:hAnsi="Times New Roman" w:cs="Times New Roman"/>
          <w:sz w:val="20"/>
          <w:szCs w:val="20"/>
          <w:lang w:val="en-US"/>
        </w:rPr>
        <w:t xml:space="preserve"> </w:t>
      </w:r>
      <w:r w:rsidRPr="009D0841">
        <w:rPr>
          <w:rFonts w:ascii="Times New Roman" w:hAnsi="Times New Roman" w:cs="Times New Roman"/>
          <w:sz w:val="20"/>
          <w:szCs w:val="20"/>
          <w:lang w:val="en-US"/>
        </w:rPr>
        <w:t>2017.</w:t>
      </w:r>
    </w:p>
    <w:p w:rsidR="003C14E1" w:rsidRPr="009D0841" w:rsidRDefault="003C14E1" w:rsidP="007C2BE0">
      <w:pPr>
        <w:pStyle w:val="Default"/>
        <w:spacing w:line="276" w:lineRule="auto"/>
        <w:ind w:left="360"/>
        <w:rPr>
          <w:rFonts w:ascii="Times New Roman" w:hAnsi="Times New Roman" w:cs="Times New Roman"/>
          <w:sz w:val="20"/>
          <w:szCs w:val="20"/>
          <w:lang w:val="en-US"/>
        </w:rPr>
      </w:pPr>
      <w:r w:rsidRPr="009D0841">
        <w:rPr>
          <w:rFonts w:ascii="Times New Roman" w:hAnsi="Times New Roman" w:cs="Times New Roman"/>
          <w:sz w:val="20"/>
          <w:szCs w:val="20"/>
          <w:lang w:val="en-US"/>
        </w:rPr>
        <w:t>2.Assiri GA, Shebl NA, Mahmoud MA, et al. What is the epidemiology of medication errors, error-related adverse eventsand risk factors for errors in adults managed in community care contexts? A systematic review of the internationalliterature. BMJ Open 2018;8(5):e019101.</w:t>
      </w:r>
    </w:p>
    <w:p w:rsidR="003C14E1" w:rsidRPr="009D0841" w:rsidRDefault="003C14E1" w:rsidP="007C2BE0">
      <w:pPr>
        <w:pStyle w:val="Default"/>
        <w:spacing w:line="276" w:lineRule="auto"/>
        <w:ind w:left="360"/>
        <w:rPr>
          <w:rFonts w:ascii="Times New Roman" w:hAnsi="Times New Roman" w:cs="Times New Roman"/>
          <w:sz w:val="20"/>
          <w:szCs w:val="20"/>
          <w:lang w:val="en-US"/>
        </w:rPr>
      </w:pPr>
      <w:r w:rsidRPr="009D0841">
        <w:rPr>
          <w:rFonts w:ascii="Times New Roman" w:hAnsi="Times New Roman" w:cs="Times New Roman"/>
          <w:sz w:val="20"/>
          <w:szCs w:val="20"/>
          <w:lang w:val="en-US"/>
        </w:rPr>
        <w:t>3.Krahenbuhl-Melcher A, Schlienger R, Lampert M, et al. Drug-related problems in hospitals: a review of the recentliterature. Drug Saf 2007;30(5):379–407.</w:t>
      </w:r>
    </w:p>
    <w:p w:rsidR="003C14E1" w:rsidRPr="009D0841" w:rsidRDefault="003C14E1" w:rsidP="007C2BE0">
      <w:pPr>
        <w:pStyle w:val="Default"/>
        <w:spacing w:line="276" w:lineRule="auto"/>
        <w:ind w:left="360"/>
        <w:rPr>
          <w:rFonts w:ascii="Times New Roman" w:hAnsi="Times New Roman" w:cs="Times New Roman"/>
          <w:sz w:val="20"/>
          <w:szCs w:val="20"/>
          <w:lang w:val="en-US"/>
        </w:rPr>
      </w:pPr>
      <w:r w:rsidRPr="009D0841">
        <w:rPr>
          <w:rFonts w:ascii="Times New Roman" w:hAnsi="Times New Roman" w:cs="Times New Roman"/>
          <w:sz w:val="20"/>
          <w:szCs w:val="20"/>
          <w:lang w:val="en-US"/>
        </w:rPr>
        <w:t>4.Elliott R, Camacho E, Campbell F, et al. Prevalence and economic burden of medication errors in the NHS in England.Rapid evidence synthesis and economic analysis of the prevalence and burden of medication errors in the UK. PolicyResearch Unit in Economic Evaluation of Health and Care Interventions, Universities of Sheffield and York; 2018.</w:t>
      </w:r>
    </w:p>
    <w:p w:rsidR="003C14E1" w:rsidRPr="009D0841" w:rsidRDefault="003C14E1" w:rsidP="007C2BE0">
      <w:pPr>
        <w:pStyle w:val="Default"/>
        <w:spacing w:line="276" w:lineRule="auto"/>
        <w:ind w:left="360"/>
        <w:rPr>
          <w:rFonts w:ascii="Times New Roman" w:hAnsi="Times New Roman" w:cs="Times New Roman"/>
          <w:sz w:val="20"/>
          <w:szCs w:val="20"/>
          <w:lang w:val="en-US"/>
        </w:rPr>
      </w:pPr>
      <w:r w:rsidRPr="009D0841">
        <w:rPr>
          <w:rFonts w:ascii="Times New Roman" w:hAnsi="Times New Roman" w:cs="Times New Roman"/>
          <w:sz w:val="20"/>
          <w:szCs w:val="20"/>
          <w:lang w:val="en-US"/>
        </w:rPr>
        <w:t>5.World Health Organization. Global campaign: Medication without harm. Geneva WHO. Available at:https://www.who.int/patientsafety/medication-safety/campaign/en/ (accessed 19 June 2020).</w:t>
      </w:r>
    </w:p>
    <w:p w:rsidR="003C14E1" w:rsidRPr="009D0841" w:rsidRDefault="003C14E1" w:rsidP="007C2BE0">
      <w:pPr>
        <w:pStyle w:val="Default"/>
        <w:spacing w:line="276" w:lineRule="auto"/>
        <w:ind w:left="360"/>
        <w:rPr>
          <w:rFonts w:ascii="Times New Roman" w:hAnsi="Times New Roman" w:cs="Times New Roman"/>
          <w:sz w:val="20"/>
          <w:szCs w:val="20"/>
          <w:lang w:val="en-US"/>
        </w:rPr>
      </w:pPr>
      <w:r w:rsidRPr="009D0841">
        <w:rPr>
          <w:rFonts w:ascii="Times New Roman" w:hAnsi="Times New Roman" w:cs="Times New Roman"/>
          <w:sz w:val="20"/>
          <w:szCs w:val="20"/>
          <w:lang w:val="en-US"/>
        </w:rPr>
        <w:t>6.Council of Europe Committee of Experts on Management of Safety and Quality in Health Care: Expert group on safemedication practices. Glossary of terms related to patient and medication safety. Council of Europe; 2005.</w:t>
      </w:r>
    </w:p>
    <w:p w:rsidR="003C14E1" w:rsidRPr="009D0841" w:rsidRDefault="003C14E1" w:rsidP="007C2BE0">
      <w:pPr>
        <w:pStyle w:val="Default"/>
        <w:spacing w:line="276" w:lineRule="auto"/>
        <w:ind w:left="360"/>
        <w:rPr>
          <w:rFonts w:ascii="Times New Roman" w:hAnsi="Times New Roman" w:cs="Times New Roman"/>
          <w:sz w:val="20"/>
          <w:szCs w:val="20"/>
          <w:lang w:val="en-US"/>
        </w:rPr>
      </w:pPr>
      <w:r w:rsidRPr="009D0841">
        <w:rPr>
          <w:rFonts w:ascii="Times New Roman" w:hAnsi="Times New Roman" w:cs="Times New Roman"/>
          <w:sz w:val="20"/>
          <w:szCs w:val="20"/>
          <w:lang w:val="en-US"/>
        </w:rPr>
        <w:t>7.Institute of Medicine. Patient safety: Achieving a new standard for care. Washington DC: National Academies Press;2004. Available at: https://doi.org/10.17226/10863 (accessed 19 June 2020).</w:t>
      </w:r>
    </w:p>
    <w:p w:rsidR="003C14E1" w:rsidRPr="009D0841" w:rsidRDefault="003C14E1" w:rsidP="007C2BE0">
      <w:pPr>
        <w:pStyle w:val="Default"/>
        <w:spacing w:line="276" w:lineRule="auto"/>
        <w:ind w:left="360"/>
        <w:rPr>
          <w:rFonts w:ascii="Times New Roman" w:hAnsi="Times New Roman" w:cs="Times New Roman"/>
          <w:sz w:val="20"/>
          <w:szCs w:val="20"/>
          <w:lang w:val="en-US"/>
        </w:rPr>
      </w:pPr>
      <w:r w:rsidRPr="009D0841">
        <w:rPr>
          <w:rFonts w:ascii="Times New Roman" w:hAnsi="Times New Roman" w:cs="Times New Roman"/>
          <w:sz w:val="20"/>
          <w:szCs w:val="20"/>
          <w:lang w:val="en-US"/>
        </w:rPr>
        <w:t>8.Kohn LT, Corrigan JM, Donaldson MS, editors. To err is human: Building a safer health system. Washington DC:National Academies Press;2000.</w:t>
      </w:r>
    </w:p>
    <w:p w:rsidR="003C14E1" w:rsidRPr="009D0841" w:rsidRDefault="003C14E1" w:rsidP="007C2BE0">
      <w:pPr>
        <w:pStyle w:val="Default"/>
        <w:spacing w:line="276" w:lineRule="auto"/>
        <w:ind w:left="360"/>
        <w:rPr>
          <w:rFonts w:ascii="Times New Roman" w:hAnsi="Times New Roman" w:cs="Times New Roman"/>
          <w:sz w:val="20"/>
          <w:szCs w:val="20"/>
          <w:lang w:val="en-US"/>
        </w:rPr>
      </w:pPr>
      <w:r w:rsidRPr="009D0841">
        <w:rPr>
          <w:rFonts w:ascii="Times New Roman" w:hAnsi="Times New Roman" w:cs="Times New Roman"/>
          <w:sz w:val="20"/>
          <w:szCs w:val="20"/>
          <w:lang w:val="en-US"/>
        </w:rPr>
        <w:t>9.Alliance for Health Policy and Systems research, World Healt Organization.WHO. Systems thinking for health systemsstrengthening. Geneva: WHO; 2009. Available at: http://www.who.int/alliance-hpsr/systemsthinking/en/index.html(accessed 19 June 2020).</w:t>
      </w:r>
    </w:p>
    <w:p w:rsidR="003C14E1" w:rsidRPr="009D0841" w:rsidRDefault="003C14E1" w:rsidP="007C2BE0">
      <w:pPr>
        <w:pStyle w:val="Default"/>
        <w:spacing w:line="276" w:lineRule="auto"/>
        <w:ind w:left="360"/>
        <w:rPr>
          <w:rFonts w:ascii="Times New Roman" w:hAnsi="Times New Roman" w:cs="Times New Roman"/>
          <w:sz w:val="20"/>
          <w:szCs w:val="20"/>
          <w:lang w:val="en-US"/>
        </w:rPr>
      </w:pPr>
      <w:r w:rsidRPr="009D0841">
        <w:rPr>
          <w:rFonts w:ascii="Times New Roman" w:hAnsi="Times New Roman" w:cs="Times New Roman"/>
          <w:sz w:val="20"/>
          <w:szCs w:val="20"/>
          <w:lang w:val="en-US"/>
        </w:rPr>
        <w:t>10.STAKES. Potilas-ja lääkehoidon turvallisuussanasto [in Finnish]. Available at:https://www.julkari.fi/bitstream/handle/10024/75835/T28-2006-VERKKO.pdf (accessed 21 June 2020).</w:t>
      </w:r>
    </w:p>
    <w:p w:rsidR="003C14E1" w:rsidRPr="009D0841" w:rsidRDefault="003C14E1" w:rsidP="007C2BE0">
      <w:pPr>
        <w:pStyle w:val="Default"/>
        <w:spacing w:line="276" w:lineRule="auto"/>
        <w:ind w:left="360"/>
        <w:rPr>
          <w:rFonts w:ascii="Times New Roman" w:hAnsi="Times New Roman" w:cs="Times New Roman"/>
          <w:sz w:val="20"/>
          <w:szCs w:val="20"/>
          <w:lang w:val="en-US"/>
        </w:rPr>
      </w:pPr>
      <w:r w:rsidRPr="009D0841">
        <w:rPr>
          <w:rFonts w:ascii="Times New Roman" w:hAnsi="Times New Roman" w:cs="Times New Roman"/>
          <w:sz w:val="20"/>
          <w:szCs w:val="20"/>
          <w:lang w:val="en-US"/>
        </w:rPr>
        <w:t>11.Huml RA. Pharmaceutical competitive intelligence for the regulatory affairs professional: New York: Springer; 2012.</w:t>
      </w:r>
    </w:p>
    <w:p w:rsidR="003C14E1" w:rsidRPr="009D0841" w:rsidRDefault="003C14E1" w:rsidP="007C2BE0">
      <w:pPr>
        <w:pStyle w:val="Default"/>
        <w:spacing w:line="276" w:lineRule="auto"/>
        <w:ind w:left="360"/>
        <w:rPr>
          <w:rFonts w:ascii="Times New Roman" w:hAnsi="Times New Roman" w:cs="Times New Roman"/>
          <w:sz w:val="20"/>
          <w:szCs w:val="20"/>
          <w:lang w:val="en-US"/>
        </w:rPr>
      </w:pPr>
      <w:r w:rsidRPr="009D0841">
        <w:rPr>
          <w:rFonts w:ascii="Times New Roman" w:hAnsi="Times New Roman" w:cs="Times New Roman"/>
          <w:sz w:val="20"/>
          <w:szCs w:val="20"/>
          <w:lang w:val="en-US"/>
        </w:rPr>
        <w:t>12.Schepel L. Strategies for medication safety: An organization-based approach focusing on high-alert medications andclinical pharmacy services in Helsinki University Hospital. Helsinki: Helsingin yliopisto; 2018.</w:t>
      </w:r>
    </w:p>
    <w:p w:rsidR="003C14E1" w:rsidRPr="009D0841" w:rsidRDefault="003C14E1" w:rsidP="007C2BE0">
      <w:pPr>
        <w:pStyle w:val="Default"/>
        <w:spacing w:line="276" w:lineRule="auto"/>
        <w:ind w:left="360"/>
        <w:rPr>
          <w:rFonts w:ascii="Times New Roman" w:hAnsi="Times New Roman" w:cs="Times New Roman"/>
          <w:sz w:val="20"/>
          <w:szCs w:val="20"/>
          <w:lang w:val="en-US"/>
        </w:rPr>
      </w:pPr>
      <w:r w:rsidRPr="009D0841">
        <w:rPr>
          <w:rFonts w:ascii="Times New Roman" w:hAnsi="Times New Roman" w:cs="Times New Roman"/>
          <w:sz w:val="20"/>
          <w:szCs w:val="20"/>
          <w:lang w:val="en-US"/>
        </w:rPr>
        <w:t>13.Nebeker J, Barach, P, Samore, MH. Clarifying adverse drug events: A clinician’s guide to terminology, documentation,and reporting. Ann Intern Med 2004 May 18;140(10):795–801.</w:t>
      </w:r>
    </w:p>
    <w:p w:rsidR="003C14E1" w:rsidRPr="009D0841" w:rsidRDefault="003C14E1" w:rsidP="007C2BE0">
      <w:pPr>
        <w:pStyle w:val="Default"/>
        <w:spacing w:line="276" w:lineRule="auto"/>
        <w:ind w:left="360"/>
        <w:rPr>
          <w:rFonts w:ascii="Times New Roman" w:hAnsi="Times New Roman" w:cs="Times New Roman"/>
          <w:sz w:val="20"/>
          <w:szCs w:val="20"/>
          <w:lang w:val="en-US"/>
        </w:rPr>
      </w:pPr>
      <w:r w:rsidRPr="009D0841">
        <w:rPr>
          <w:rFonts w:ascii="Times New Roman" w:hAnsi="Times New Roman" w:cs="Times New Roman"/>
          <w:sz w:val="20"/>
          <w:szCs w:val="20"/>
          <w:lang w:val="en-US"/>
        </w:rPr>
        <w:t>14.Lotta S, Kirsi A, Kirsi K, et al. Strategies for improving medication safety in hospitals: Evolution of clinical pharmacyservices. Res Social Admin Pharm 2019;15(7):873–82.</w:t>
      </w:r>
    </w:p>
    <w:p w:rsidR="003C14E1" w:rsidRPr="009D0841" w:rsidRDefault="003C14E1" w:rsidP="007C2BE0">
      <w:pPr>
        <w:pStyle w:val="Default"/>
        <w:spacing w:line="276" w:lineRule="auto"/>
        <w:ind w:left="360"/>
        <w:rPr>
          <w:rFonts w:ascii="Times New Roman" w:hAnsi="Times New Roman" w:cs="Times New Roman"/>
          <w:sz w:val="20"/>
          <w:szCs w:val="20"/>
          <w:lang w:val="en-US"/>
        </w:rPr>
      </w:pPr>
      <w:r w:rsidRPr="009D0841">
        <w:rPr>
          <w:rFonts w:ascii="Times New Roman" w:hAnsi="Times New Roman" w:cs="Times New Roman"/>
          <w:sz w:val="20"/>
          <w:szCs w:val="20"/>
          <w:lang w:val="en-US"/>
        </w:rPr>
        <w:t>15.Expert Group on Safe Medication Practices. Creation of a better medication safety culture in Europe: Building up safemedication practices. Council of Europe; 2006.</w:t>
      </w:r>
    </w:p>
    <w:p w:rsidR="003C14E1" w:rsidRPr="009D0841" w:rsidRDefault="003C14E1" w:rsidP="007C2BE0">
      <w:pPr>
        <w:pStyle w:val="Default"/>
        <w:spacing w:line="276" w:lineRule="auto"/>
        <w:ind w:left="360"/>
        <w:rPr>
          <w:rFonts w:ascii="Times New Roman" w:hAnsi="Times New Roman" w:cs="Times New Roman"/>
          <w:sz w:val="20"/>
          <w:szCs w:val="20"/>
          <w:lang w:val="en-US"/>
        </w:rPr>
      </w:pPr>
      <w:r w:rsidRPr="009D0841">
        <w:rPr>
          <w:rFonts w:ascii="Times New Roman" w:hAnsi="Times New Roman" w:cs="Times New Roman"/>
          <w:sz w:val="20"/>
          <w:szCs w:val="20"/>
          <w:lang w:val="en-US"/>
        </w:rPr>
        <w:t>16.Inacio P, Cavaco A, Airaksinen M. The value of patient reporting to the pharmacovigilance system: a systematicreview. Br J Clin Pharmacol 2017;83(2):227–46.</w:t>
      </w:r>
    </w:p>
    <w:p w:rsidR="003C14E1" w:rsidRPr="009D0841" w:rsidRDefault="003C14E1" w:rsidP="007C2BE0">
      <w:pPr>
        <w:pStyle w:val="Default"/>
        <w:spacing w:line="276" w:lineRule="auto"/>
        <w:ind w:left="360"/>
        <w:rPr>
          <w:rFonts w:ascii="Times New Roman" w:hAnsi="Times New Roman" w:cs="Times New Roman"/>
          <w:sz w:val="20"/>
          <w:szCs w:val="20"/>
          <w:lang w:val="en-US"/>
        </w:rPr>
      </w:pPr>
      <w:r w:rsidRPr="009D0841">
        <w:rPr>
          <w:rFonts w:ascii="Times New Roman" w:hAnsi="Times New Roman" w:cs="Times New Roman"/>
          <w:sz w:val="20"/>
          <w:szCs w:val="20"/>
          <w:lang w:val="en-US"/>
        </w:rPr>
        <w:t>17.Holmström A-R. Learning from medication errors in healthcare — How to make medication error reporting systemswork? [Academic dissertation]. University of Helsinki; 2017. Available at:https://researchportal.helsinki.fi/en/publications/learning-from-medication-errors-in-healthcare-how-to-make-medicat (accessed 21 June 2020).</w:t>
      </w:r>
    </w:p>
    <w:p w:rsidR="003C14E1" w:rsidRPr="009D0841" w:rsidRDefault="003C14E1" w:rsidP="007C2BE0">
      <w:pPr>
        <w:pStyle w:val="Default"/>
        <w:spacing w:line="276" w:lineRule="auto"/>
        <w:ind w:left="360"/>
        <w:rPr>
          <w:rFonts w:ascii="Times New Roman" w:hAnsi="Times New Roman" w:cs="Times New Roman"/>
          <w:sz w:val="20"/>
          <w:szCs w:val="20"/>
          <w:lang w:val="en-US"/>
        </w:rPr>
      </w:pPr>
      <w:r w:rsidRPr="009D0841">
        <w:rPr>
          <w:rFonts w:ascii="Times New Roman" w:hAnsi="Times New Roman" w:cs="Times New Roman"/>
          <w:sz w:val="20"/>
          <w:szCs w:val="20"/>
        </w:rPr>
        <w:t xml:space="preserve">18.Cheng L, Sun N, Li Y, Zhang Z, et al. </w:t>
      </w:r>
      <w:r w:rsidRPr="009D0841">
        <w:rPr>
          <w:rFonts w:ascii="Times New Roman" w:hAnsi="Times New Roman" w:cs="Times New Roman"/>
          <w:sz w:val="20"/>
          <w:szCs w:val="20"/>
          <w:lang w:val="en-US"/>
        </w:rPr>
        <w:t>International comparative analyses of incidents reporting systems for healthcarerisk management. J Evid Based Med 2011;4(1):32–47.</w:t>
      </w:r>
    </w:p>
    <w:p w:rsidR="003C14E1" w:rsidRPr="009D0841" w:rsidRDefault="003C14E1" w:rsidP="007C2BE0">
      <w:pPr>
        <w:pStyle w:val="Default"/>
        <w:spacing w:line="276" w:lineRule="auto"/>
        <w:ind w:left="360"/>
        <w:rPr>
          <w:rFonts w:ascii="Times New Roman" w:hAnsi="Times New Roman" w:cs="Times New Roman"/>
          <w:sz w:val="20"/>
          <w:szCs w:val="20"/>
          <w:lang w:val="en-US"/>
        </w:rPr>
      </w:pPr>
      <w:r w:rsidRPr="009D0841">
        <w:rPr>
          <w:rFonts w:ascii="Times New Roman" w:hAnsi="Times New Roman" w:cs="Times New Roman"/>
          <w:sz w:val="20"/>
          <w:szCs w:val="20"/>
          <w:lang w:val="en-US"/>
        </w:rPr>
        <w:t>19.National Coordinating Council for Medication Error Reporting and Prevention. Taxonomy of medication errors. NCCMERP; 1998.</w:t>
      </w:r>
    </w:p>
    <w:p w:rsidR="003C14E1" w:rsidRPr="009D0841" w:rsidRDefault="003C14E1" w:rsidP="007C2BE0">
      <w:pPr>
        <w:pStyle w:val="Default"/>
        <w:spacing w:line="276" w:lineRule="auto"/>
        <w:ind w:left="360"/>
        <w:rPr>
          <w:rFonts w:ascii="Times New Roman" w:hAnsi="Times New Roman" w:cs="Times New Roman"/>
          <w:sz w:val="20"/>
          <w:szCs w:val="20"/>
          <w:lang w:val="en-US"/>
        </w:rPr>
      </w:pPr>
      <w:r w:rsidRPr="009D0841">
        <w:rPr>
          <w:rFonts w:ascii="Times New Roman" w:hAnsi="Times New Roman" w:cs="Times New Roman"/>
          <w:sz w:val="20"/>
          <w:szCs w:val="20"/>
          <w:lang w:val="en-US"/>
        </w:rPr>
        <w:t>20.Bates DW, Boyle DL, Vander Vliet MB, et al. Relationship between medication errors and adverse drug events. J GenIntern Med 1995 Apr;10(4):199–205.</w:t>
      </w:r>
    </w:p>
    <w:p w:rsidR="003C14E1" w:rsidRPr="009D0841" w:rsidRDefault="003C14E1" w:rsidP="007C2BE0">
      <w:pPr>
        <w:pStyle w:val="Default"/>
        <w:spacing w:line="276" w:lineRule="auto"/>
        <w:ind w:left="360"/>
        <w:rPr>
          <w:rFonts w:ascii="Times New Roman" w:hAnsi="Times New Roman" w:cs="Times New Roman"/>
          <w:sz w:val="20"/>
          <w:szCs w:val="20"/>
          <w:lang w:val="en-US"/>
        </w:rPr>
      </w:pPr>
      <w:r w:rsidRPr="009D0841">
        <w:rPr>
          <w:rFonts w:ascii="Times New Roman" w:hAnsi="Times New Roman" w:cs="Times New Roman"/>
          <w:sz w:val="20"/>
          <w:szCs w:val="20"/>
          <w:lang w:val="en-US"/>
        </w:rPr>
        <w:t>21.Council of Europe Committee of Ministers. Recommendation Rec (2006)7 of the Committee of Ministers to memberstates on management of patient safety and prevention of adverse events in health care. Council of Europe; 2006.Available from: https://search.coe.int/cm/Pages/result_details.aspx?ObjectID=09000016805ae8b5 (accessed 19 June2020).</w:t>
      </w:r>
    </w:p>
    <w:p w:rsidR="003C14E1" w:rsidRPr="009D0841" w:rsidRDefault="003C14E1" w:rsidP="007C2BE0">
      <w:pPr>
        <w:pStyle w:val="Default"/>
        <w:spacing w:line="276" w:lineRule="auto"/>
        <w:ind w:left="360"/>
        <w:rPr>
          <w:rFonts w:ascii="Times New Roman" w:hAnsi="Times New Roman" w:cs="Times New Roman"/>
          <w:sz w:val="20"/>
          <w:szCs w:val="20"/>
          <w:lang w:val="en-US"/>
        </w:rPr>
      </w:pPr>
      <w:r w:rsidRPr="009D0841">
        <w:rPr>
          <w:rFonts w:ascii="Times New Roman" w:hAnsi="Times New Roman" w:cs="Times New Roman"/>
          <w:sz w:val="20"/>
          <w:szCs w:val="20"/>
          <w:lang w:val="en-US"/>
        </w:rPr>
        <w:t>22.World Health Organization. Patient safety. Available at: https://www.who.int/patientsafety/en/ (accessed 19 June2020).</w:t>
      </w:r>
    </w:p>
    <w:p w:rsidR="003C14E1" w:rsidRPr="009D0841" w:rsidRDefault="003C14E1" w:rsidP="007C2BE0">
      <w:pPr>
        <w:pStyle w:val="Default"/>
        <w:pageBreakBefore/>
        <w:spacing w:line="276" w:lineRule="auto"/>
        <w:ind w:left="360"/>
        <w:rPr>
          <w:rFonts w:ascii="Times New Roman" w:hAnsi="Times New Roman" w:cs="Times New Roman"/>
          <w:sz w:val="20"/>
          <w:szCs w:val="20"/>
          <w:lang w:val="en-US"/>
        </w:rPr>
      </w:pPr>
      <w:r w:rsidRPr="009D0841">
        <w:rPr>
          <w:rFonts w:ascii="Times New Roman" w:hAnsi="Times New Roman" w:cs="Times New Roman"/>
          <w:sz w:val="20"/>
          <w:szCs w:val="20"/>
          <w:lang w:val="en-US"/>
        </w:rPr>
        <w:lastRenderedPageBreak/>
        <w:t>23.Sheikh A, Rudan I, Cresswell K, et al. Agreeing on global research priorities for medication safety: an internationalprioritisation exercise. J Global Health 2019;9(1):010422.</w:t>
      </w:r>
    </w:p>
    <w:p w:rsidR="003C14E1" w:rsidRPr="009D0841" w:rsidRDefault="003C14E1" w:rsidP="007C2BE0">
      <w:pPr>
        <w:pStyle w:val="Default"/>
        <w:spacing w:line="276" w:lineRule="auto"/>
        <w:ind w:left="360"/>
        <w:rPr>
          <w:rFonts w:ascii="Times New Roman" w:hAnsi="Times New Roman" w:cs="Times New Roman"/>
          <w:sz w:val="20"/>
          <w:szCs w:val="20"/>
          <w:lang w:val="en-US"/>
        </w:rPr>
      </w:pPr>
      <w:r w:rsidRPr="009D0841">
        <w:rPr>
          <w:rFonts w:ascii="Times New Roman" w:hAnsi="Times New Roman" w:cs="Times New Roman"/>
          <w:sz w:val="20"/>
          <w:szCs w:val="20"/>
          <w:lang w:val="en-US"/>
        </w:rPr>
        <w:t>24.World Health Organization. Clean care is safer care. Available at: https://www.who.int/gpsc/background/en/(accessed 19 June 2020).</w:t>
      </w:r>
    </w:p>
    <w:p w:rsidR="003C14E1" w:rsidRPr="009D0841" w:rsidRDefault="003C14E1" w:rsidP="007C2BE0">
      <w:pPr>
        <w:pStyle w:val="Default"/>
        <w:spacing w:line="276" w:lineRule="auto"/>
        <w:ind w:left="360"/>
        <w:rPr>
          <w:rFonts w:ascii="Times New Roman" w:hAnsi="Times New Roman" w:cs="Times New Roman"/>
          <w:sz w:val="20"/>
          <w:szCs w:val="20"/>
          <w:lang w:val="en-US"/>
        </w:rPr>
      </w:pPr>
      <w:r w:rsidRPr="009D0841">
        <w:rPr>
          <w:rFonts w:ascii="Times New Roman" w:hAnsi="Times New Roman" w:cs="Times New Roman"/>
          <w:sz w:val="20"/>
          <w:szCs w:val="20"/>
          <w:lang w:val="en-US"/>
        </w:rPr>
        <w:t>25.World Health Organization. Safe surgery. Available at: https://www.who.int/patientsafety/safesurgery/en/ (accessed19 June 2020)</w:t>
      </w:r>
    </w:p>
    <w:p w:rsidR="003C14E1" w:rsidRPr="009D0841" w:rsidRDefault="003C14E1" w:rsidP="007C2BE0">
      <w:pPr>
        <w:pStyle w:val="Default"/>
        <w:spacing w:line="276" w:lineRule="auto"/>
        <w:ind w:left="360"/>
        <w:rPr>
          <w:rFonts w:ascii="Times New Roman" w:hAnsi="Times New Roman" w:cs="Times New Roman"/>
          <w:sz w:val="20"/>
          <w:szCs w:val="20"/>
          <w:lang w:val="en-US"/>
        </w:rPr>
      </w:pPr>
      <w:r w:rsidRPr="009D0841">
        <w:rPr>
          <w:rFonts w:ascii="Times New Roman" w:hAnsi="Times New Roman" w:cs="Times New Roman"/>
          <w:sz w:val="20"/>
          <w:szCs w:val="20"/>
          <w:lang w:val="en-US"/>
        </w:rPr>
        <w:t>26.World Health Organization. Medication safety in high-risk situations. Geneva: WHO; 2019.</w:t>
      </w:r>
    </w:p>
    <w:p w:rsidR="003C14E1" w:rsidRPr="009D0841" w:rsidRDefault="003C14E1" w:rsidP="007C2BE0">
      <w:pPr>
        <w:pStyle w:val="Default"/>
        <w:spacing w:line="276" w:lineRule="auto"/>
        <w:ind w:left="360"/>
        <w:rPr>
          <w:rFonts w:ascii="Times New Roman" w:hAnsi="Times New Roman" w:cs="Times New Roman"/>
          <w:sz w:val="20"/>
          <w:szCs w:val="20"/>
          <w:lang w:val="en-US"/>
        </w:rPr>
      </w:pPr>
      <w:r w:rsidRPr="009D0841">
        <w:rPr>
          <w:rFonts w:ascii="Times New Roman" w:hAnsi="Times New Roman" w:cs="Times New Roman"/>
          <w:sz w:val="20"/>
          <w:szCs w:val="20"/>
          <w:lang w:val="en-US"/>
        </w:rPr>
        <w:t>27.World Health Organization. Medication safety in polypharmacy. Geneva: WHO; 2019.</w:t>
      </w:r>
    </w:p>
    <w:p w:rsidR="003C14E1" w:rsidRPr="009D0841" w:rsidRDefault="003C14E1" w:rsidP="007C2BE0">
      <w:pPr>
        <w:pStyle w:val="Default"/>
        <w:spacing w:line="276" w:lineRule="auto"/>
        <w:ind w:left="360"/>
        <w:rPr>
          <w:rFonts w:ascii="Times New Roman" w:hAnsi="Times New Roman" w:cs="Times New Roman"/>
          <w:sz w:val="20"/>
          <w:szCs w:val="20"/>
          <w:lang w:val="en-US"/>
        </w:rPr>
      </w:pPr>
      <w:r w:rsidRPr="009D0841">
        <w:rPr>
          <w:rFonts w:ascii="Times New Roman" w:hAnsi="Times New Roman" w:cs="Times New Roman"/>
          <w:sz w:val="20"/>
          <w:szCs w:val="20"/>
          <w:lang w:val="en-US"/>
        </w:rPr>
        <w:t>28.World Health Organization. Medication safety in transitions of care. Geneva: WHO; 2019.</w:t>
      </w:r>
    </w:p>
    <w:p w:rsidR="003C14E1" w:rsidRPr="009D0841" w:rsidRDefault="003C14E1" w:rsidP="007C2BE0">
      <w:pPr>
        <w:pStyle w:val="Default"/>
        <w:spacing w:line="276" w:lineRule="auto"/>
        <w:ind w:left="360"/>
        <w:rPr>
          <w:rFonts w:ascii="Times New Roman" w:hAnsi="Times New Roman" w:cs="Times New Roman"/>
          <w:sz w:val="20"/>
          <w:szCs w:val="20"/>
          <w:lang w:val="en-US"/>
        </w:rPr>
      </w:pPr>
      <w:r w:rsidRPr="009D0841">
        <w:rPr>
          <w:rFonts w:ascii="Times New Roman" w:hAnsi="Times New Roman" w:cs="Times New Roman"/>
          <w:sz w:val="20"/>
          <w:szCs w:val="20"/>
          <w:lang w:val="en-US"/>
        </w:rPr>
        <w:t>29.Panesar SS, deSilva D, Carson-Stevens A, et al. How safe is primary care? A systematic review. BMJ Qual Safe2016;25(7):544–53.</w:t>
      </w:r>
    </w:p>
    <w:p w:rsidR="003C14E1" w:rsidRPr="009D0841" w:rsidRDefault="003C14E1" w:rsidP="007C2BE0">
      <w:pPr>
        <w:pStyle w:val="Default"/>
        <w:spacing w:line="276" w:lineRule="auto"/>
        <w:ind w:left="360"/>
        <w:rPr>
          <w:rFonts w:ascii="Times New Roman" w:hAnsi="Times New Roman" w:cs="Times New Roman"/>
          <w:sz w:val="20"/>
          <w:szCs w:val="20"/>
          <w:lang w:val="en-US"/>
        </w:rPr>
      </w:pPr>
      <w:r w:rsidRPr="009D0841">
        <w:rPr>
          <w:rFonts w:ascii="Times New Roman" w:hAnsi="Times New Roman" w:cs="Times New Roman"/>
          <w:sz w:val="20"/>
          <w:szCs w:val="20"/>
          <w:lang w:val="en-US"/>
        </w:rPr>
        <w:t>30.World Health Organization &amp; WHO Patient Safety. Patient safety curriculum guide: multi-professional edition. Geneva:WHO; 2011.</w:t>
      </w:r>
    </w:p>
    <w:p w:rsidR="003C14E1" w:rsidRPr="009D0841" w:rsidRDefault="003C14E1" w:rsidP="007C2BE0">
      <w:pPr>
        <w:pStyle w:val="Default"/>
        <w:spacing w:line="276" w:lineRule="auto"/>
        <w:ind w:left="360"/>
        <w:rPr>
          <w:rFonts w:ascii="Times New Roman" w:hAnsi="Times New Roman" w:cs="Times New Roman"/>
          <w:sz w:val="20"/>
          <w:szCs w:val="20"/>
          <w:lang w:val="en-US"/>
        </w:rPr>
      </w:pPr>
      <w:r w:rsidRPr="009D0841">
        <w:rPr>
          <w:rFonts w:ascii="Times New Roman" w:hAnsi="Times New Roman" w:cs="Times New Roman"/>
          <w:sz w:val="20"/>
          <w:szCs w:val="20"/>
          <w:lang w:val="en-US"/>
        </w:rPr>
        <w:t>31.Holmström A, Airaksinen M, Laaksonen R. Introducing basic principles of medication safety: Development of a three-day continuing education course for healthcare professionals. Currents in Pharmacy Teaching and Learning.2015;7(5):716–23.</w:t>
      </w:r>
    </w:p>
    <w:p w:rsidR="003C14E1" w:rsidRPr="009D0841" w:rsidRDefault="003C14E1" w:rsidP="007C2BE0">
      <w:pPr>
        <w:pStyle w:val="Default"/>
        <w:spacing w:line="276" w:lineRule="auto"/>
        <w:ind w:left="360"/>
        <w:rPr>
          <w:rFonts w:ascii="Times New Roman" w:hAnsi="Times New Roman" w:cs="Times New Roman"/>
          <w:sz w:val="20"/>
          <w:szCs w:val="20"/>
          <w:lang w:val="en-US"/>
        </w:rPr>
      </w:pPr>
      <w:r w:rsidRPr="009D0841">
        <w:rPr>
          <w:rFonts w:ascii="Times New Roman" w:hAnsi="Times New Roman" w:cs="Times New Roman"/>
          <w:sz w:val="20"/>
          <w:szCs w:val="20"/>
          <w:lang w:val="en-US"/>
        </w:rPr>
        <w:t>32.Hepler CD, Strand LM. Opportunities and responsibilities in pharmaceutical care. AJHP 1990;47(3):533–43.</w:t>
      </w:r>
    </w:p>
    <w:p w:rsidR="003C14E1" w:rsidRPr="009D0841" w:rsidRDefault="003C14E1" w:rsidP="007C2BE0">
      <w:pPr>
        <w:pStyle w:val="Default"/>
        <w:spacing w:line="276" w:lineRule="auto"/>
        <w:ind w:left="360"/>
        <w:rPr>
          <w:rFonts w:ascii="Times New Roman" w:hAnsi="Times New Roman" w:cs="Times New Roman"/>
          <w:sz w:val="20"/>
          <w:szCs w:val="20"/>
          <w:lang w:val="en-US"/>
        </w:rPr>
      </w:pPr>
      <w:r w:rsidRPr="009D0841">
        <w:rPr>
          <w:rFonts w:ascii="Times New Roman" w:hAnsi="Times New Roman" w:cs="Times New Roman"/>
          <w:sz w:val="20"/>
          <w:szCs w:val="20"/>
          <w:lang w:val="en-US"/>
        </w:rPr>
        <w:t>33.International Pharmaceutical Federation/World Heath Organization. Joint guidelines on good pharmacy practice:standards for quality of pharmacy services. The Hague/Geneva: FIP/WHO; 2011.</w:t>
      </w:r>
    </w:p>
    <w:p w:rsidR="003C14E1" w:rsidRPr="009D0841" w:rsidRDefault="003C14E1" w:rsidP="007C2BE0">
      <w:pPr>
        <w:pStyle w:val="Default"/>
        <w:spacing w:line="276" w:lineRule="auto"/>
        <w:ind w:left="360"/>
        <w:rPr>
          <w:rFonts w:ascii="Times New Roman" w:hAnsi="Times New Roman" w:cs="Times New Roman"/>
          <w:sz w:val="20"/>
          <w:szCs w:val="20"/>
          <w:lang w:val="en-US"/>
        </w:rPr>
      </w:pPr>
      <w:r w:rsidRPr="009D0841">
        <w:rPr>
          <w:rFonts w:ascii="Times New Roman" w:hAnsi="Times New Roman" w:cs="Times New Roman"/>
          <w:sz w:val="20"/>
          <w:szCs w:val="20"/>
          <w:lang w:val="en-US"/>
        </w:rPr>
        <w:t>34.World Health Organization. Good pharmacy practice in community and hospital pharmacy settings. Geneva: WHO;1996.</w:t>
      </w:r>
    </w:p>
    <w:p w:rsidR="003C14E1" w:rsidRPr="009D0841" w:rsidRDefault="003C14E1" w:rsidP="007C2BE0">
      <w:pPr>
        <w:pStyle w:val="Default"/>
        <w:spacing w:line="276" w:lineRule="auto"/>
        <w:ind w:left="360"/>
        <w:rPr>
          <w:rFonts w:ascii="Times New Roman" w:hAnsi="Times New Roman" w:cs="Times New Roman"/>
          <w:sz w:val="20"/>
          <w:szCs w:val="20"/>
          <w:lang w:val="en-US"/>
        </w:rPr>
      </w:pPr>
      <w:r w:rsidRPr="009D0841">
        <w:rPr>
          <w:rFonts w:ascii="Times New Roman" w:hAnsi="Times New Roman" w:cs="Times New Roman"/>
          <w:sz w:val="20"/>
          <w:szCs w:val="20"/>
          <w:lang w:val="en-US"/>
        </w:rPr>
        <w:t>35.International Pharmaceutical Federation/World Heath Organization. Joint guidelines on good pharmacy practice:standards for quality of pharmacy services. The Hague/Geneva: FIP/WHO; 2011.</w:t>
      </w:r>
    </w:p>
    <w:p w:rsidR="003C14E1" w:rsidRPr="009D0841" w:rsidRDefault="003C14E1" w:rsidP="007C2BE0">
      <w:pPr>
        <w:pStyle w:val="Default"/>
        <w:spacing w:line="276" w:lineRule="auto"/>
        <w:ind w:left="360"/>
        <w:rPr>
          <w:rFonts w:ascii="Times New Roman" w:hAnsi="Times New Roman" w:cs="Times New Roman"/>
          <w:sz w:val="20"/>
          <w:szCs w:val="20"/>
          <w:lang w:val="en-US"/>
        </w:rPr>
      </w:pPr>
      <w:r w:rsidRPr="009D0841">
        <w:rPr>
          <w:rFonts w:ascii="Times New Roman" w:hAnsi="Times New Roman" w:cs="Times New Roman"/>
          <w:sz w:val="20"/>
          <w:szCs w:val="20"/>
          <w:lang w:val="en-US"/>
        </w:rPr>
        <w:t>36.Jeddah Declaration on Patient Safety. Jeddah; 2019. Available at:https://spsc.gov.sa/English/Summit/Documents/JeddahDeclaration-En.pdf (accessed 19 June 2020).</w:t>
      </w:r>
    </w:p>
    <w:p w:rsidR="003C14E1" w:rsidRPr="009D0841" w:rsidRDefault="003C14E1" w:rsidP="007C2BE0">
      <w:pPr>
        <w:pStyle w:val="Default"/>
        <w:spacing w:line="276" w:lineRule="auto"/>
        <w:ind w:left="360"/>
        <w:rPr>
          <w:rFonts w:ascii="Times New Roman" w:hAnsi="Times New Roman" w:cs="Times New Roman"/>
          <w:sz w:val="20"/>
          <w:szCs w:val="20"/>
          <w:lang w:val="en-US"/>
        </w:rPr>
      </w:pPr>
      <w:r w:rsidRPr="009D0841">
        <w:rPr>
          <w:rFonts w:ascii="Times New Roman" w:hAnsi="Times New Roman" w:cs="Times New Roman"/>
          <w:sz w:val="20"/>
          <w:szCs w:val="20"/>
          <w:lang w:val="en-US"/>
        </w:rPr>
        <w:t>37.World Health Organization. The Fourth Global Ministerial Summit on Patient Safety, 2–3 March 2019. Available at:https://www.who.int/news-room/events/detail/2019/03/02/default-calendar/global-ministerial-summit-on-patient-safety (accessed 19 June 2020).</w:t>
      </w:r>
    </w:p>
    <w:p w:rsidR="003C14E1" w:rsidRPr="009D0841" w:rsidRDefault="003C14E1" w:rsidP="007C2BE0">
      <w:pPr>
        <w:pStyle w:val="Default"/>
        <w:spacing w:line="276" w:lineRule="auto"/>
        <w:ind w:left="360"/>
        <w:rPr>
          <w:rFonts w:ascii="Times New Roman" w:hAnsi="Times New Roman" w:cs="Times New Roman"/>
          <w:sz w:val="20"/>
          <w:szCs w:val="20"/>
          <w:lang w:val="en-US"/>
        </w:rPr>
      </w:pPr>
      <w:r w:rsidRPr="009D0841">
        <w:rPr>
          <w:rFonts w:ascii="Times New Roman" w:hAnsi="Times New Roman" w:cs="Times New Roman"/>
          <w:sz w:val="20"/>
          <w:szCs w:val="20"/>
          <w:lang w:val="en-US"/>
        </w:rPr>
        <w:t>38.International pharmaceutical Federation. Intervention on provisional agenda item 12.5 Patient Safety — Global actionon patient safety, World Health Assembly, 2019. Available at: https://www.fip.org/files/content/news/2019/FIP-intervention-1251-Patient-Safety.pdf (accessed 19 June 2020).</w:t>
      </w:r>
    </w:p>
    <w:p w:rsidR="003C14E1" w:rsidRPr="009D0841" w:rsidRDefault="003C14E1" w:rsidP="007C2BE0">
      <w:pPr>
        <w:pStyle w:val="Default"/>
        <w:spacing w:line="276" w:lineRule="auto"/>
        <w:ind w:left="360"/>
        <w:rPr>
          <w:rFonts w:ascii="Times New Roman" w:hAnsi="Times New Roman" w:cs="Times New Roman"/>
          <w:sz w:val="20"/>
          <w:szCs w:val="20"/>
          <w:lang w:val="en-US"/>
        </w:rPr>
      </w:pPr>
      <w:r w:rsidRPr="009D0841">
        <w:rPr>
          <w:rFonts w:ascii="Times New Roman" w:hAnsi="Times New Roman" w:cs="Times New Roman"/>
          <w:sz w:val="20"/>
          <w:szCs w:val="20"/>
          <w:lang w:val="en-US"/>
        </w:rPr>
        <w:t>39.Patient Safety Network. Glossary. Available at: https://psnet.ahrq.gov/glossary (accessed 19 June 2020).</w:t>
      </w:r>
    </w:p>
    <w:p w:rsidR="003C14E1" w:rsidRPr="009D0841" w:rsidRDefault="003C14E1" w:rsidP="007C2BE0">
      <w:pPr>
        <w:pStyle w:val="Default"/>
        <w:spacing w:line="276" w:lineRule="auto"/>
        <w:ind w:left="360"/>
        <w:rPr>
          <w:rFonts w:ascii="Times New Roman" w:hAnsi="Times New Roman" w:cs="Times New Roman"/>
          <w:sz w:val="20"/>
          <w:szCs w:val="20"/>
          <w:lang w:val="en-US"/>
        </w:rPr>
      </w:pPr>
      <w:r w:rsidRPr="009D0841">
        <w:rPr>
          <w:rFonts w:ascii="Times New Roman" w:hAnsi="Times New Roman" w:cs="Times New Roman"/>
          <w:sz w:val="20"/>
          <w:szCs w:val="20"/>
          <w:lang w:val="en-US"/>
        </w:rPr>
        <w:t>40.World Health Organization Regional Office for Europe. Patient safety. Available at:http://www.euro.who.int/en/health-topics/Health-systems/patient-safety (accessed 19 June 2020).</w:t>
      </w:r>
    </w:p>
    <w:p w:rsidR="003C14E1" w:rsidRPr="009D0841" w:rsidRDefault="003C14E1" w:rsidP="007C2BE0">
      <w:pPr>
        <w:pStyle w:val="Default"/>
        <w:spacing w:line="276" w:lineRule="auto"/>
        <w:ind w:left="360"/>
        <w:rPr>
          <w:rFonts w:ascii="Times New Roman" w:hAnsi="Times New Roman" w:cs="Times New Roman"/>
          <w:sz w:val="20"/>
          <w:szCs w:val="20"/>
          <w:lang w:val="en-US"/>
        </w:rPr>
      </w:pPr>
      <w:r w:rsidRPr="009D0841">
        <w:rPr>
          <w:rFonts w:ascii="Times New Roman" w:hAnsi="Times New Roman" w:cs="Times New Roman"/>
          <w:sz w:val="20"/>
          <w:szCs w:val="20"/>
          <w:lang w:val="en-US"/>
        </w:rPr>
        <w:t>41.Institute for Safe Medication Practices Canada. Definitions of terms. Available at: https://www.ismp-canada.org/definitions.htm (accessed 19 June 2020).</w:t>
      </w:r>
    </w:p>
    <w:p w:rsidR="003C14E1" w:rsidRPr="009D0841" w:rsidRDefault="003C14E1" w:rsidP="007C2BE0">
      <w:pPr>
        <w:pStyle w:val="Default"/>
        <w:spacing w:line="276" w:lineRule="auto"/>
        <w:ind w:left="360"/>
        <w:rPr>
          <w:rFonts w:ascii="Times New Roman" w:hAnsi="Times New Roman" w:cs="Times New Roman"/>
          <w:sz w:val="20"/>
          <w:szCs w:val="20"/>
          <w:lang w:val="en-US"/>
        </w:rPr>
      </w:pPr>
      <w:r w:rsidRPr="009D0841">
        <w:rPr>
          <w:rFonts w:ascii="Times New Roman" w:hAnsi="Times New Roman" w:cs="Times New Roman"/>
          <w:sz w:val="20"/>
          <w:szCs w:val="20"/>
          <w:lang w:val="en-US"/>
        </w:rPr>
        <w:t>42.Polnariev A. The Medication Error Prioritization System (MEPS): A novel tool in medication safety. P&amp;T2014;39(6):443–7.</w:t>
      </w:r>
    </w:p>
    <w:p w:rsidR="003C14E1" w:rsidRPr="009D0841" w:rsidRDefault="003C14E1" w:rsidP="007C2BE0">
      <w:pPr>
        <w:pStyle w:val="Default"/>
        <w:spacing w:line="276" w:lineRule="auto"/>
        <w:ind w:left="360"/>
        <w:rPr>
          <w:rFonts w:ascii="Times New Roman" w:hAnsi="Times New Roman" w:cs="Times New Roman"/>
          <w:sz w:val="20"/>
          <w:szCs w:val="20"/>
          <w:lang w:val="en-US"/>
        </w:rPr>
      </w:pPr>
      <w:r w:rsidRPr="009D0841">
        <w:rPr>
          <w:rFonts w:ascii="Times New Roman" w:hAnsi="Times New Roman" w:cs="Times New Roman"/>
          <w:sz w:val="20"/>
          <w:szCs w:val="20"/>
          <w:lang w:val="en-US"/>
        </w:rPr>
        <w:t>43.Sexton JB, Helmreich RL, Neilands TB, et al. The Safety Attitudes Questionnaire: psychometric properties,benchmarking data, and emerging research. BMC Health Serv Res 2006;6(1):44.</w:t>
      </w:r>
    </w:p>
    <w:p w:rsidR="003C14E1" w:rsidRPr="009D0841" w:rsidRDefault="003C14E1" w:rsidP="007C2BE0">
      <w:pPr>
        <w:pStyle w:val="Default"/>
        <w:spacing w:line="276" w:lineRule="auto"/>
        <w:ind w:left="360"/>
        <w:rPr>
          <w:rFonts w:ascii="Times New Roman" w:hAnsi="Times New Roman" w:cs="Times New Roman"/>
          <w:sz w:val="20"/>
          <w:szCs w:val="20"/>
          <w:lang w:val="en-US"/>
        </w:rPr>
      </w:pPr>
      <w:r w:rsidRPr="009D0841">
        <w:rPr>
          <w:rFonts w:ascii="Times New Roman" w:hAnsi="Times New Roman" w:cs="Times New Roman"/>
          <w:sz w:val="20"/>
          <w:szCs w:val="20"/>
          <w:lang w:val="en-US"/>
        </w:rPr>
        <w:t>44.Paradiso L, Sweeney N. Just culture: It's more than policy. Nurs Manage 2019;50(6):38–45.</w:t>
      </w:r>
    </w:p>
    <w:p w:rsidR="003C14E1" w:rsidRPr="009D0841" w:rsidRDefault="003C14E1" w:rsidP="007C2BE0">
      <w:pPr>
        <w:pStyle w:val="Default"/>
        <w:spacing w:line="276" w:lineRule="auto"/>
        <w:ind w:left="360"/>
        <w:rPr>
          <w:rFonts w:ascii="Times New Roman" w:hAnsi="Times New Roman" w:cs="Times New Roman"/>
          <w:sz w:val="20"/>
          <w:szCs w:val="20"/>
          <w:lang w:val="en-US"/>
        </w:rPr>
      </w:pPr>
      <w:r w:rsidRPr="009D0841">
        <w:rPr>
          <w:rFonts w:ascii="Times New Roman" w:hAnsi="Times New Roman" w:cs="Times New Roman"/>
          <w:sz w:val="20"/>
          <w:szCs w:val="20"/>
          <w:lang w:val="en-US"/>
        </w:rPr>
        <w:t>45.Runciman WB. Shared meanings: preferred terms and definitions for safety and quality concepts. Med J Australia2006;184(10 Suppl):S41–3.</w:t>
      </w:r>
    </w:p>
    <w:p w:rsidR="003C14E1" w:rsidRPr="009D0841" w:rsidRDefault="003C14E1" w:rsidP="007C2BE0">
      <w:pPr>
        <w:pStyle w:val="Default"/>
        <w:spacing w:line="276" w:lineRule="auto"/>
        <w:ind w:left="360"/>
        <w:rPr>
          <w:rFonts w:ascii="Times New Roman" w:hAnsi="Times New Roman" w:cs="Times New Roman"/>
          <w:sz w:val="20"/>
          <w:szCs w:val="20"/>
          <w:lang w:val="en-US"/>
        </w:rPr>
      </w:pPr>
      <w:r w:rsidRPr="009D0841">
        <w:rPr>
          <w:rFonts w:ascii="Times New Roman" w:hAnsi="Times New Roman" w:cs="Times New Roman"/>
          <w:sz w:val="20"/>
          <w:szCs w:val="20"/>
          <w:lang w:val="en-US"/>
        </w:rPr>
        <w:t>46.Phillips DP, Bredder CC. Morbidity and mortality from medical errors: An increasingly serious public health problem.Ann Rev Public Health 2002;23:135–50.</w:t>
      </w:r>
    </w:p>
    <w:p w:rsidR="003C14E1" w:rsidRPr="009D0841" w:rsidRDefault="003C14E1" w:rsidP="007C2BE0">
      <w:pPr>
        <w:pStyle w:val="Default"/>
        <w:spacing w:line="276" w:lineRule="auto"/>
        <w:ind w:left="360"/>
        <w:rPr>
          <w:rFonts w:ascii="Times New Roman" w:hAnsi="Times New Roman" w:cs="Times New Roman"/>
          <w:sz w:val="20"/>
          <w:szCs w:val="20"/>
          <w:lang w:val="en-US"/>
        </w:rPr>
      </w:pPr>
      <w:r w:rsidRPr="009D0841">
        <w:rPr>
          <w:rFonts w:ascii="Times New Roman" w:hAnsi="Times New Roman" w:cs="Times New Roman"/>
          <w:sz w:val="20"/>
          <w:szCs w:val="20"/>
          <w:lang w:val="en-US"/>
        </w:rPr>
        <w:t>47.Phillips DP, Bredder CC. Morbidity and mortality from medical errors: An increasingly serious public health problem.Ann Rev Public Health 2002(23):135–50.</w:t>
      </w:r>
    </w:p>
    <w:p w:rsidR="003C14E1" w:rsidRPr="009D0841" w:rsidRDefault="003C14E1" w:rsidP="007C2BE0">
      <w:pPr>
        <w:pStyle w:val="Default"/>
        <w:spacing w:line="276" w:lineRule="auto"/>
        <w:ind w:left="360"/>
        <w:rPr>
          <w:rFonts w:ascii="Times New Roman" w:hAnsi="Times New Roman" w:cs="Times New Roman"/>
          <w:sz w:val="20"/>
          <w:szCs w:val="20"/>
          <w:lang w:val="en-US"/>
        </w:rPr>
      </w:pPr>
      <w:r w:rsidRPr="009D0841">
        <w:rPr>
          <w:rFonts w:ascii="Times New Roman" w:hAnsi="Times New Roman" w:cs="Times New Roman"/>
          <w:sz w:val="20"/>
          <w:szCs w:val="20"/>
          <w:lang w:val="en-US"/>
        </w:rPr>
        <w:t>48.Duckers M, Faber M, Cruijsberg J, et al. Safety and risk management interventions in hospitals: a systematic review ofthe literature. Med Care Res Review 2009;66(6 Suppl):90s–119s.</w:t>
      </w:r>
    </w:p>
    <w:p w:rsidR="003C14E1" w:rsidRPr="009D0841" w:rsidRDefault="003C14E1" w:rsidP="007C2BE0">
      <w:pPr>
        <w:pStyle w:val="Default"/>
        <w:spacing w:line="276" w:lineRule="auto"/>
        <w:ind w:left="360"/>
        <w:rPr>
          <w:rFonts w:ascii="Times New Roman" w:hAnsi="Times New Roman" w:cs="Times New Roman"/>
          <w:sz w:val="20"/>
          <w:szCs w:val="20"/>
          <w:lang w:val="en-US"/>
        </w:rPr>
      </w:pPr>
      <w:r w:rsidRPr="009D0841">
        <w:rPr>
          <w:rFonts w:ascii="Times New Roman" w:hAnsi="Times New Roman" w:cs="Times New Roman"/>
          <w:sz w:val="20"/>
          <w:szCs w:val="20"/>
          <w:lang w:val="en-US"/>
        </w:rPr>
        <w:t>49.Reason J. Human error: models and management. BMJ Clin Res 2000;320(7237):768–70.</w:t>
      </w:r>
    </w:p>
    <w:p w:rsidR="003C14E1" w:rsidRPr="009D0841" w:rsidRDefault="003C14E1" w:rsidP="007C2BE0">
      <w:pPr>
        <w:pStyle w:val="Default"/>
        <w:spacing w:line="276" w:lineRule="auto"/>
        <w:ind w:left="360"/>
        <w:rPr>
          <w:rFonts w:ascii="Times New Roman" w:hAnsi="Times New Roman" w:cs="Times New Roman"/>
          <w:sz w:val="20"/>
          <w:szCs w:val="20"/>
          <w:lang w:val="en-US"/>
        </w:rPr>
      </w:pPr>
      <w:r w:rsidRPr="009D0841">
        <w:rPr>
          <w:rFonts w:ascii="Times New Roman" w:hAnsi="Times New Roman" w:cs="Times New Roman"/>
          <w:sz w:val="20"/>
          <w:szCs w:val="20"/>
          <w:lang w:val="en-US"/>
        </w:rPr>
        <w:t>50.Weick KE. Organizational culture as a source of high reliability. California Manage Rev 1987;29(2):112–27.</w:t>
      </w:r>
    </w:p>
    <w:p w:rsidR="003C14E1" w:rsidRPr="009D0841" w:rsidRDefault="003C14E1" w:rsidP="007C2BE0">
      <w:pPr>
        <w:pStyle w:val="Default"/>
        <w:spacing w:line="276" w:lineRule="auto"/>
        <w:ind w:left="360"/>
        <w:rPr>
          <w:rFonts w:ascii="Times New Roman" w:hAnsi="Times New Roman" w:cs="Times New Roman"/>
          <w:sz w:val="20"/>
          <w:szCs w:val="20"/>
          <w:lang w:val="en-US"/>
        </w:rPr>
      </w:pPr>
      <w:r w:rsidRPr="009D0841">
        <w:rPr>
          <w:rFonts w:ascii="Times New Roman" w:hAnsi="Times New Roman" w:cs="Times New Roman"/>
          <w:sz w:val="20"/>
          <w:szCs w:val="20"/>
          <w:lang w:val="en-US"/>
        </w:rPr>
        <w:t>51.Weick KE, Sutcliffe KM, Obstfeld D. Organizing for high reliability: Processes of collective mindfulness. In: Sutton RI,Staw BM (editors), Research in organizational behaviour Vol 2. Elsevier Science/JAI Press; 1999.</w:t>
      </w:r>
    </w:p>
    <w:p w:rsidR="003C14E1" w:rsidRPr="009D0841" w:rsidRDefault="003C14E1" w:rsidP="007C2BE0">
      <w:pPr>
        <w:pStyle w:val="Default"/>
        <w:spacing w:line="276" w:lineRule="auto"/>
        <w:ind w:left="360"/>
        <w:rPr>
          <w:rFonts w:ascii="Times New Roman" w:hAnsi="Times New Roman" w:cs="Times New Roman"/>
          <w:sz w:val="20"/>
          <w:szCs w:val="20"/>
          <w:lang w:val="en-US"/>
        </w:rPr>
      </w:pPr>
      <w:r w:rsidRPr="009D0841">
        <w:rPr>
          <w:rFonts w:ascii="Times New Roman" w:hAnsi="Times New Roman" w:cs="Times New Roman"/>
          <w:sz w:val="20"/>
          <w:szCs w:val="20"/>
          <w:lang w:val="en-US"/>
        </w:rPr>
        <w:lastRenderedPageBreak/>
        <w:t>52.Reason J. The contribution of latent human failures to the breakdown of complex systems. Philos Trans R Soc of LondB Biol Sci 1990;327(1241):475–84.</w:t>
      </w:r>
    </w:p>
    <w:p w:rsidR="003C14E1" w:rsidRPr="009D0841" w:rsidRDefault="003C14E1" w:rsidP="007C2BE0">
      <w:pPr>
        <w:pStyle w:val="Default"/>
        <w:spacing w:line="276" w:lineRule="auto"/>
        <w:ind w:left="360"/>
        <w:rPr>
          <w:rFonts w:ascii="Times New Roman" w:hAnsi="Times New Roman" w:cs="Times New Roman"/>
          <w:sz w:val="20"/>
          <w:szCs w:val="20"/>
        </w:rPr>
      </w:pPr>
      <w:r w:rsidRPr="009D0841">
        <w:rPr>
          <w:rFonts w:ascii="Times New Roman" w:hAnsi="Times New Roman" w:cs="Times New Roman"/>
          <w:sz w:val="20"/>
          <w:szCs w:val="20"/>
          <w:lang w:val="en-US"/>
        </w:rPr>
        <w:t xml:space="preserve">53.Reason J. Human errors: models and management. </w:t>
      </w:r>
      <w:r w:rsidRPr="009D0841">
        <w:rPr>
          <w:rFonts w:ascii="Times New Roman" w:hAnsi="Times New Roman" w:cs="Times New Roman"/>
          <w:sz w:val="20"/>
          <w:szCs w:val="20"/>
        </w:rPr>
        <w:t>BMJ 2000;320:768–70.</w:t>
      </w:r>
    </w:p>
    <w:p w:rsidR="003C14E1" w:rsidRPr="009D0841" w:rsidRDefault="003C14E1" w:rsidP="007C2BE0">
      <w:pPr>
        <w:pStyle w:val="Default"/>
        <w:ind w:left="360"/>
        <w:rPr>
          <w:rFonts w:ascii="Times New Roman" w:hAnsi="Times New Roman" w:cs="Times New Roman"/>
          <w:sz w:val="20"/>
          <w:szCs w:val="20"/>
          <w:lang w:val="en-US"/>
        </w:rPr>
      </w:pPr>
      <w:r w:rsidRPr="009D0841">
        <w:rPr>
          <w:rFonts w:ascii="Times New Roman" w:hAnsi="Times New Roman" w:cs="Times New Roman"/>
          <w:sz w:val="20"/>
          <w:szCs w:val="20"/>
        </w:rPr>
        <w:t xml:space="preserve">54.Cheung KC, van den Bemt PM, Torringa ML, et al. </w:t>
      </w:r>
      <w:r w:rsidRPr="009D0841">
        <w:rPr>
          <w:rFonts w:ascii="Times New Roman" w:hAnsi="Times New Roman" w:cs="Times New Roman"/>
          <w:sz w:val="20"/>
          <w:szCs w:val="20"/>
          <w:lang w:val="en-US"/>
        </w:rPr>
        <w:t xml:space="preserve">Erroneous exchange of asparaginase forms in the treatment of acutelymphoblastic leukemia. J Pediatr Hematol/Oncol 2011;33(3):e109–13. </w:t>
      </w:r>
    </w:p>
    <w:p w:rsidR="007C2BE0" w:rsidRPr="009D0841" w:rsidRDefault="007C2BE0" w:rsidP="007C2BE0">
      <w:pPr>
        <w:pStyle w:val="Default"/>
        <w:ind w:left="360"/>
        <w:rPr>
          <w:rFonts w:ascii="Times New Roman" w:hAnsi="Times New Roman" w:cs="Times New Roman"/>
          <w:sz w:val="20"/>
          <w:szCs w:val="20"/>
          <w:lang w:val="en-US"/>
        </w:rPr>
      </w:pPr>
      <w:r w:rsidRPr="009D0841">
        <w:rPr>
          <w:rFonts w:ascii="Times New Roman" w:hAnsi="Times New Roman" w:cs="Times New Roman"/>
          <w:sz w:val="20"/>
          <w:szCs w:val="20"/>
          <w:lang w:val="en-US"/>
        </w:rPr>
        <w:t>Self-reported uptake of recommendations after dissemination of medicationincident alerts. BMJ Qual Saf 2012;21(12):1009–18.</w:t>
      </w:r>
    </w:p>
    <w:p w:rsidR="003C14E1" w:rsidRPr="009D0841" w:rsidRDefault="003C14E1" w:rsidP="007C2BE0">
      <w:pPr>
        <w:pStyle w:val="Default"/>
        <w:spacing w:line="276" w:lineRule="auto"/>
        <w:ind w:left="360"/>
        <w:rPr>
          <w:rFonts w:ascii="Times New Roman" w:hAnsi="Times New Roman" w:cs="Times New Roman"/>
          <w:color w:val="auto"/>
          <w:sz w:val="20"/>
          <w:szCs w:val="20"/>
          <w:lang w:val="en-US"/>
        </w:rPr>
      </w:pPr>
      <w:r w:rsidRPr="009D0841">
        <w:rPr>
          <w:rFonts w:ascii="Times New Roman" w:hAnsi="Times New Roman" w:cs="Times New Roman"/>
          <w:color w:val="auto"/>
          <w:sz w:val="20"/>
          <w:szCs w:val="20"/>
          <w:lang w:val="en-US"/>
        </w:rPr>
        <w:t>56.Cheung KC, van den Bemt PM, Bouvy ML, et al. Relevance of foreign alerts and newsletters for the medication errorsreporting programme in the Netherlands: an explorative retrospective study. Drug Saf 2014;37(11):981–7.</w:t>
      </w:r>
    </w:p>
    <w:p w:rsidR="003C14E1" w:rsidRPr="009D0841" w:rsidRDefault="003C14E1" w:rsidP="007C2BE0">
      <w:pPr>
        <w:pStyle w:val="Default"/>
        <w:spacing w:line="276" w:lineRule="auto"/>
        <w:ind w:left="360"/>
        <w:rPr>
          <w:rFonts w:ascii="Times New Roman" w:hAnsi="Times New Roman" w:cs="Times New Roman"/>
          <w:color w:val="auto"/>
          <w:sz w:val="20"/>
          <w:szCs w:val="20"/>
          <w:lang w:val="en-US"/>
        </w:rPr>
      </w:pPr>
      <w:r w:rsidRPr="009D0841">
        <w:rPr>
          <w:rFonts w:ascii="Times New Roman" w:hAnsi="Times New Roman" w:cs="Times New Roman"/>
          <w:color w:val="auto"/>
          <w:sz w:val="20"/>
          <w:szCs w:val="20"/>
          <w:lang w:val="en-US"/>
        </w:rPr>
        <w:t>57.DiCuccio MH. The relationship between patient safety culture and patient outcomes: A systematic review. J PatientSaf 2015;11(3):135–42.</w:t>
      </w:r>
    </w:p>
    <w:p w:rsidR="003C14E1" w:rsidRPr="009D0841" w:rsidRDefault="003C14E1" w:rsidP="007C2BE0">
      <w:pPr>
        <w:pStyle w:val="Default"/>
        <w:spacing w:line="276" w:lineRule="auto"/>
        <w:ind w:left="360"/>
        <w:rPr>
          <w:rFonts w:ascii="Times New Roman" w:hAnsi="Times New Roman" w:cs="Times New Roman"/>
          <w:color w:val="auto"/>
          <w:sz w:val="20"/>
          <w:szCs w:val="20"/>
          <w:lang w:val="en-US"/>
        </w:rPr>
      </w:pPr>
      <w:r w:rsidRPr="009D0841">
        <w:rPr>
          <w:rFonts w:ascii="Times New Roman" w:hAnsi="Times New Roman" w:cs="Times New Roman"/>
          <w:color w:val="auto"/>
          <w:sz w:val="20"/>
          <w:szCs w:val="20"/>
          <w:lang w:val="en-US"/>
        </w:rPr>
        <w:t>58.Morello RT, Lowthian JA, Barker AL, et al. Strategies for improving patient safety culture in hospitals: a systematicreview. BMJ Qual Saf 2013;22(1):11–8.</w:t>
      </w:r>
    </w:p>
    <w:p w:rsidR="003C14E1" w:rsidRPr="009D0841" w:rsidRDefault="003C14E1" w:rsidP="007C2BE0">
      <w:pPr>
        <w:pStyle w:val="Default"/>
        <w:spacing w:line="276" w:lineRule="auto"/>
        <w:ind w:left="360"/>
        <w:rPr>
          <w:rFonts w:ascii="Times New Roman" w:hAnsi="Times New Roman" w:cs="Times New Roman"/>
          <w:color w:val="auto"/>
          <w:sz w:val="20"/>
          <w:szCs w:val="20"/>
          <w:lang w:val="en-US"/>
        </w:rPr>
      </w:pPr>
      <w:r w:rsidRPr="009D0841">
        <w:rPr>
          <w:rFonts w:ascii="Times New Roman" w:hAnsi="Times New Roman" w:cs="Times New Roman"/>
          <w:color w:val="auto"/>
          <w:sz w:val="20"/>
          <w:szCs w:val="20"/>
          <w:lang w:val="en-US"/>
        </w:rPr>
        <w:t>59.Institute of Medicine Committee on Quality of Health Care in America. Crossing the quality chasm: A new healthsystem for the 21st century. Washington DC: National Academies Press;2001.</w:t>
      </w:r>
    </w:p>
    <w:p w:rsidR="003C14E1" w:rsidRPr="009D0841" w:rsidRDefault="003C14E1" w:rsidP="007C2BE0">
      <w:pPr>
        <w:pStyle w:val="Default"/>
        <w:spacing w:line="276" w:lineRule="auto"/>
        <w:ind w:left="360"/>
        <w:rPr>
          <w:rFonts w:ascii="Times New Roman" w:hAnsi="Times New Roman" w:cs="Times New Roman"/>
          <w:color w:val="auto"/>
          <w:sz w:val="20"/>
          <w:szCs w:val="20"/>
          <w:lang w:val="en-US"/>
        </w:rPr>
      </w:pPr>
      <w:r w:rsidRPr="009D0841">
        <w:rPr>
          <w:rFonts w:ascii="Times New Roman" w:hAnsi="Times New Roman" w:cs="Times New Roman"/>
          <w:color w:val="auto"/>
          <w:sz w:val="20"/>
          <w:szCs w:val="20"/>
          <w:lang w:val="en-US"/>
        </w:rPr>
        <w:t>60.Nieva VF, Sorra J. Safety culture assessment: a tool for improving patient safety in healthcare organizations. Qual SafHealth Care 2003;12(Suppl 2):ii17–23.</w:t>
      </w:r>
    </w:p>
    <w:p w:rsidR="003C14E1" w:rsidRPr="009D0841" w:rsidRDefault="003C14E1" w:rsidP="007C2BE0">
      <w:pPr>
        <w:pStyle w:val="Default"/>
        <w:spacing w:line="276" w:lineRule="auto"/>
        <w:ind w:left="360"/>
        <w:rPr>
          <w:rFonts w:ascii="Times New Roman" w:hAnsi="Times New Roman" w:cs="Times New Roman"/>
          <w:color w:val="auto"/>
          <w:sz w:val="20"/>
          <w:szCs w:val="20"/>
          <w:lang w:val="en-US"/>
        </w:rPr>
      </w:pPr>
      <w:r w:rsidRPr="009D0841">
        <w:rPr>
          <w:rFonts w:ascii="Times New Roman" w:hAnsi="Times New Roman" w:cs="Times New Roman"/>
          <w:color w:val="auto"/>
          <w:sz w:val="20"/>
          <w:szCs w:val="20"/>
          <w:lang w:val="en-US"/>
        </w:rPr>
        <w:t>61.Gershon RR, Stone PW, Bakken S, et al. Measurement of organizational culture and climate in healthcare. J NursingAdmin 2004;34(1):33–40.</w:t>
      </w:r>
    </w:p>
    <w:p w:rsidR="003C14E1" w:rsidRPr="009D0841" w:rsidRDefault="003C14E1" w:rsidP="007C2BE0">
      <w:pPr>
        <w:pStyle w:val="Default"/>
        <w:spacing w:line="276" w:lineRule="auto"/>
        <w:ind w:left="360"/>
        <w:rPr>
          <w:rFonts w:ascii="Times New Roman" w:hAnsi="Times New Roman" w:cs="Times New Roman"/>
          <w:color w:val="auto"/>
          <w:sz w:val="20"/>
          <w:szCs w:val="20"/>
          <w:lang w:val="en-US"/>
        </w:rPr>
      </w:pPr>
      <w:r w:rsidRPr="009D0841">
        <w:rPr>
          <w:rFonts w:ascii="Times New Roman" w:hAnsi="Times New Roman" w:cs="Times New Roman"/>
          <w:color w:val="auto"/>
          <w:sz w:val="20"/>
          <w:szCs w:val="20"/>
          <w:lang w:val="en-US"/>
        </w:rPr>
        <w:t>62.Phipps DL, De Bie J, Herborg H, et al. Evaluation of the Pharmacy Safety Climate Questionnaire in Europeancommunity pharmacies. Int J Qual Health Care 2012;24(1):16–22.</w:t>
      </w:r>
    </w:p>
    <w:p w:rsidR="003C14E1" w:rsidRPr="009D0841" w:rsidRDefault="003C14E1" w:rsidP="007C2BE0">
      <w:pPr>
        <w:pStyle w:val="Default"/>
        <w:spacing w:line="276" w:lineRule="auto"/>
        <w:ind w:left="360"/>
        <w:rPr>
          <w:rFonts w:ascii="Times New Roman" w:hAnsi="Times New Roman" w:cs="Times New Roman"/>
          <w:color w:val="auto"/>
          <w:sz w:val="20"/>
          <w:szCs w:val="20"/>
          <w:lang w:val="en-US"/>
        </w:rPr>
      </w:pPr>
      <w:r w:rsidRPr="009D0841">
        <w:rPr>
          <w:rFonts w:ascii="Times New Roman" w:hAnsi="Times New Roman" w:cs="Times New Roman"/>
          <w:color w:val="auto"/>
          <w:sz w:val="20"/>
          <w:szCs w:val="20"/>
          <w:lang w:val="en-US"/>
        </w:rPr>
        <w:t>63.Meyer-Massetti C, Cheng CM, Schwappach DL, et al. Systematic review of medication safety assessment methods.AJHP 2011;68(3):227–40.</w:t>
      </w:r>
    </w:p>
    <w:p w:rsidR="003C14E1" w:rsidRPr="009D0841" w:rsidRDefault="003C14E1" w:rsidP="007C2BE0">
      <w:pPr>
        <w:pStyle w:val="Default"/>
        <w:spacing w:line="276" w:lineRule="auto"/>
        <w:ind w:left="360"/>
        <w:rPr>
          <w:rFonts w:ascii="Times New Roman" w:hAnsi="Times New Roman" w:cs="Times New Roman"/>
          <w:color w:val="auto"/>
          <w:sz w:val="20"/>
          <w:szCs w:val="20"/>
          <w:lang w:val="en-US"/>
        </w:rPr>
      </w:pPr>
      <w:r w:rsidRPr="009D0841">
        <w:rPr>
          <w:rFonts w:ascii="Times New Roman" w:hAnsi="Times New Roman" w:cs="Times New Roman"/>
          <w:color w:val="auto"/>
          <w:sz w:val="20"/>
          <w:szCs w:val="20"/>
          <w:lang w:val="en-US"/>
        </w:rPr>
        <w:t>64.Blegen MA, Pepper GA, Rosse J. Safety climate on hospital units: A new measure. In: Henriksen K, Battles JB, Marks ES,et al, editors. Advances in patient safety: From research to implementation (Volume 4: Programs, tools, andproducts). Rockville, Maryland: Agency for Healthcare Research and Quality; 2005.</w:t>
      </w:r>
    </w:p>
    <w:p w:rsidR="003C14E1" w:rsidRPr="009D0841" w:rsidRDefault="003C14E1" w:rsidP="007C2BE0">
      <w:pPr>
        <w:pStyle w:val="Default"/>
        <w:spacing w:line="276" w:lineRule="auto"/>
        <w:ind w:left="360"/>
        <w:rPr>
          <w:rFonts w:ascii="Times New Roman" w:hAnsi="Times New Roman" w:cs="Times New Roman"/>
          <w:color w:val="auto"/>
          <w:sz w:val="20"/>
          <w:szCs w:val="20"/>
          <w:lang w:val="en-US"/>
        </w:rPr>
      </w:pPr>
      <w:r w:rsidRPr="009D0841">
        <w:rPr>
          <w:rFonts w:ascii="Times New Roman" w:hAnsi="Times New Roman" w:cs="Times New Roman"/>
          <w:color w:val="auto"/>
          <w:sz w:val="20"/>
          <w:szCs w:val="20"/>
          <w:lang w:val="en-US"/>
        </w:rPr>
        <w:t>65.Classen DC, Metzger J. Improving medication safety: the measurement conundrum and where to start. Int J QualHealth Care 2003;15(Suppl 1):i41–7.</w:t>
      </w:r>
    </w:p>
    <w:p w:rsidR="003C14E1" w:rsidRPr="009D0841" w:rsidRDefault="003C14E1" w:rsidP="007C2BE0">
      <w:pPr>
        <w:pStyle w:val="Default"/>
        <w:spacing w:line="276" w:lineRule="auto"/>
        <w:ind w:left="360"/>
        <w:rPr>
          <w:rFonts w:ascii="Times New Roman" w:hAnsi="Times New Roman" w:cs="Times New Roman"/>
          <w:color w:val="auto"/>
          <w:sz w:val="20"/>
          <w:szCs w:val="20"/>
          <w:lang w:val="en-US"/>
        </w:rPr>
      </w:pPr>
      <w:r w:rsidRPr="009D0841">
        <w:rPr>
          <w:rFonts w:ascii="Times New Roman" w:hAnsi="Times New Roman" w:cs="Times New Roman"/>
          <w:color w:val="auto"/>
          <w:sz w:val="20"/>
          <w:szCs w:val="20"/>
          <w:lang w:val="en-US"/>
        </w:rPr>
        <w:t>66.Singla AK, Kitch BT, Weissman JS, et al. Assessing patient safety culture: a review and synthesis of the measurementtools. J Patient Saf 2006;2:105–15.</w:t>
      </w:r>
    </w:p>
    <w:p w:rsidR="003C14E1" w:rsidRPr="009D0841" w:rsidRDefault="003C14E1" w:rsidP="007C2BE0">
      <w:pPr>
        <w:pStyle w:val="Default"/>
        <w:spacing w:line="276" w:lineRule="auto"/>
        <w:ind w:left="360"/>
        <w:rPr>
          <w:rFonts w:ascii="Times New Roman" w:hAnsi="Times New Roman" w:cs="Times New Roman"/>
          <w:color w:val="auto"/>
          <w:sz w:val="20"/>
          <w:szCs w:val="20"/>
          <w:lang w:val="en-US"/>
        </w:rPr>
      </w:pPr>
      <w:r w:rsidRPr="009D0841">
        <w:rPr>
          <w:rFonts w:ascii="Times New Roman" w:hAnsi="Times New Roman" w:cs="Times New Roman"/>
          <w:color w:val="auto"/>
          <w:sz w:val="20"/>
          <w:szCs w:val="20"/>
          <w:lang w:val="en-US"/>
        </w:rPr>
        <w:t>67.Kotter J. The 8-step process for leading change. Available at: https://www.kotterinc.com/8-steps-process-for-leading-change/ (accessed 19 July 2020)</w:t>
      </w:r>
    </w:p>
    <w:p w:rsidR="003C14E1" w:rsidRPr="009D0841" w:rsidRDefault="003C14E1" w:rsidP="007C2BE0">
      <w:pPr>
        <w:pStyle w:val="Default"/>
        <w:spacing w:line="276" w:lineRule="auto"/>
        <w:ind w:left="360"/>
        <w:rPr>
          <w:rFonts w:ascii="Times New Roman" w:hAnsi="Times New Roman" w:cs="Times New Roman"/>
          <w:color w:val="auto"/>
          <w:sz w:val="20"/>
          <w:szCs w:val="20"/>
          <w:lang w:val="en-US"/>
        </w:rPr>
      </w:pPr>
      <w:r w:rsidRPr="009D0841">
        <w:rPr>
          <w:rFonts w:ascii="Times New Roman" w:hAnsi="Times New Roman" w:cs="Times New Roman"/>
          <w:color w:val="auto"/>
          <w:sz w:val="20"/>
          <w:szCs w:val="20"/>
          <w:lang w:val="en-US"/>
        </w:rPr>
        <w:t>68.Sivanandy P, Maharajan MK, Rajiah K, et al. Evaluation of patient safety culture among Malaysian retail pharmacists:results of a self-reported survey. Patient Prefer Adherence 2016;10:1317–25.</w:t>
      </w:r>
    </w:p>
    <w:p w:rsidR="003C14E1" w:rsidRPr="009D0841" w:rsidRDefault="003C14E1" w:rsidP="007C2BE0">
      <w:pPr>
        <w:pStyle w:val="Default"/>
        <w:spacing w:line="276" w:lineRule="auto"/>
        <w:ind w:left="360"/>
        <w:rPr>
          <w:rFonts w:ascii="Times New Roman" w:hAnsi="Times New Roman" w:cs="Times New Roman"/>
          <w:color w:val="auto"/>
          <w:sz w:val="20"/>
          <w:szCs w:val="20"/>
          <w:lang w:val="en-US"/>
        </w:rPr>
      </w:pPr>
      <w:r w:rsidRPr="009D0841">
        <w:rPr>
          <w:rFonts w:ascii="Times New Roman" w:hAnsi="Times New Roman" w:cs="Times New Roman"/>
          <w:color w:val="auto"/>
          <w:sz w:val="20"/>
          <w:szCs w:val="20"/>
          <w:lang w:val="en-US"/>
        </w:rPr>
        <w:t>69.Chui MA, Look KA, Mott DA. The association of subjective workload dimensions on quality of care and pharmacistquality of work life. Res Soc Admin Pharm 2014;10(2):328–40.</w:t>
      </w:r>
    </w:p>
    <w:p w:rsidR="003C14E1" w:rsidRPr="009D0841" w:rsidRDefault="003C14E1" w:rsidP="007C2BE0">
      <w:pPr>
        <w:pStyle w:val="Default"/>
        <w:spacing w:line="276" w:lineRule="auto"/>
        <w:ind w:left="360"/>
        <w:rPr>
          <w:rFonts w:ascii="Times New Roman" w:hAnsi="Times New Roman" w:cs="Times New Roman"/>
          <w:color w:val="auto"/>
          <w:sz w:val="20"/>
          <w:szCs w:val="20"/>
          <w:lang w:val="en-US"/>
        </w:rPr>
      </w:pPr>
      <w:r w:rsidRPr="009D0841">
        <w:rPr>
          <w:rFonts w:ascii="Times New Roman" w:hAnsi="Times New Roman" w:cs="Times New Roman"/>
          <w:color w:val="auto"/>
          <w:sz w:val="20"/>
          <w:szCs w:val="20"/>
          <w:lang w:val="en-US"/>
        </w:rPr>
        <w:t>70.Mekonnen AB, McLachlan AJ, Brien JE, et al. Barriers and facilitators to hospital pharmacists’ engagement inmedication safety activities: a qualitative study using the theoretical domains framework. J Pharm Policy Pract2018;11:2.</w:t>
      </w:r>
    </w:p>
    <w:p w:rsidR="003C14E1" w:rsidRPr="009D0841" w:rsidRDefault="003C14E1" w:rsidP="007C2BE0">
      <w:pPr>
        <w:pStyle w:val="Default"/>
        <w:spacing w:line="276" w:lineRule="auto"/>
        <w:ind w:left="360"/>
        <w:rPr>
          <w:rFonts w:ascii="Times New Roman" w:hAnsi="Times New Roman" w:cs="Times New Roman"/>
          <w:color w:val="auto"/>
          <w:sz w:val="20"/>
          <w:szCs w:val="20"/>
          <w:lang w:val="en-US"/>
        </w:rPr>
      </w:pPr>
      <w:r w:rsidRPr="009D0841">
        <w:rPr>
          <w:rFonts w:ascii="Times New Roman" w:hAnsi="Times New Roman" w:cs="Times New Roman"/>
          <w:color w:val="auto"/>
          <w:sz w:val="20"/>
          <w:szCs w:val="20"/>
          <w:lang w:val="en-US"/>
        </w:rPr>
        <w:t>71.Lalor DJ, Chen TF, Walpola R, et al. An exploration of Australian hospital pharmacists’ attitudes to patient safety. Int JPharm Pract 2015;23(1):67–76.</w:t>
      </w:r>
    </w:p>
    <w:p w:rsidR="003C14E1" w:rsidRPr="009D0841" w:rsidRDefault="003C14E1" w:rsidP="007C2BE0">
      <w:pPr>
        <w:pStyle w:val="Default"/>
        <w:spacing w:line="276" w:lineRule="auto"/>
        <w:ind w:left="360"/>
        <w:rPr>
          <w:rFonts w:ascii="Times New Roman" w:hAnsi="Times New Roman" w:cs="Times New Roman"/>
          <w:color w:val="auto"/>
          <w:sz w:val="20"/>
          <w:szCs w:val="20"/>
          <w:lang w:val="en-US"/>
        </w:rPr>
      </w:pPr>
      <w:r w:rsidRPr="009D0841">
        <w:rPr>
          <w:rFonts w:ascii="Times New Roman" w:hAnsi="Times New Roman" w:cs="Times New Roman"/>
          <w:color w:val="auto"/>
          <w:sz w:val="20"/>
          <w:szCs w:val="20"/>
          <w:lang w:val="en-US"/>
        </w:rPr>
        <w:t>72.Acheampong F, Bruce E, Anto BP. Medication safety activities of hospital pharmacists in Ghana; challenges andperceived impact on patient care. The International journal of risk &amp; safety in medicine. 2015;27(1):1-10.</w:t>
      </w:r>
    </w:p>
    <w:p w:rsidR="003C14E1" w:rsidRPr="009D0841" w:rsidRDefault="003C14E1" w:rsidP="007C2BE0">
      <w:pPr>
        <w:pStyle w:val="Default"/>
        <w:spacing w:line="276" w:lineRule="auto"/>
        <w:ind w:left="360"/>
        <w:rPr>
          <w:rFonts w:ascii="Times New Roman" w:hAnsi="Times New Roman" w:cs="Times New Roman"/>
          <w:color w:val="auto"/>
          <w:sz w:val="20"/>
          <w:szCs w:val="20"/>
          <w:lang w:val="en-US"/>
        </w:rPr>
      </w:pPr>
      <w:r w:rsidRPr="009D0841">
        <w:rPr>
          <w:rFonts w:ascii="Times New Roman" w:hAnsi="Times New Roman" w:cs="Times New Roman"/>
          <w:color w:val="auto"/>
          <w:sz w:val="20"/>
          <w:szCs w:val="20"/>
          <w:lang w:val="en-US"/>
        </w:rPr>
        <w:t>73.Acheampong F, Anto BP. Perceived barriers to pharmacist engagement in adverse drug event prevention activities inGhana using semi-structured interview. BMC Health Serv Res 2015;15:361.</w:t>
      </w:r>
    </w:p>
    <w:p w:rsidR="003C14E1" w:rsidRPr="009D0841" w:rsidRDefault="003C14E1" w:rsidP="007C2BE0">
      <w:pPr>
        <w:pStyle w:val="Default"/>
        <w:spacing w:line="276" w:lineRule="auto"/>
        <w:ind w:left="360"/>
        <w:rPr>
          <w:rFonts w:ascii="Times New Roman" w:hAnsi="Times New Roman" w:cs="Times New Roman"/>
          <w:color w:val="auto"/>
          <w:sz w:val="20"/>
          <w:szCs w:val="20"/>
        </w:rPr>
      </w:pPr>
      <w:r w:rsidRPr="009D0841">
        <w:rPr>
          <w:rFonts w:ascii="Times New Roman" w:hAnsi="Times New Roman" w:cs="Times New Roman"/>
          <w:color w:val="auto"/>
          <w:sz w:val="20"/>
          <w:szCs w:val="20"/>
          <w:lang w:val="en-US"/>
        </w:rPr>
        <w:t xml:space="preserve">74.Jia PL, Zhang LH, Zhang MM, et al. Safety culture in a pharmacy setting using a pharmacy survey on patient safetyculture: a cross-sectional study in China. </w:t>
      </w:r>
      <w:r w:rsidRPr="009D0841">
        <w:rPr>
          <w:rFonts w:ascii="Times New Roman" w:hAnsi="Times New Roman" w:cs="Times New Roman"/>
          <w:color w:val="auto"/>
          <w:sz w:val="20"/>
          <w:szCs w:val="20"/>
        </w:rPr>
        <w:t>BMJ Open 2014;4(6):e004904.</w:t>
      </w:r>
    </w:p>
    <w:p w:rsidR="003C14E1" w:rsidRPr="009D0841" w:rsidRDefault="003C14E1" w:rsidP="007C2BE0">
      <w:pPr>
        <w:pStyle w:val="Default"/>
        <w:spacing w:line="276" w:lineRule="auto"/>
        <w:ind w:left="360"/>
        <w:rPr>
          <w:rFonts w:ascii="Times New Roman" w:hAnsi="Times New Roman" w:cs="Times New Roman"/>
          <w:color w:val="auto"/>
          <w:sz w:val="20"/>
          <w:szCs w:val="20"/>
          <w:lang w:val="en-US"/>
        </w:rPr>
      </w:pPr>
      <w:r w:rsidRPr="009D0841">
        <w:rPr>
          <w:rFonts w:ascii="Times New Roman" w:hAnsi="Times New Roman" w:cs="Times New Roman"/>
          <w:color w:val="auto"/>
          <w:sz w:val="20"/>
          <w:szCs w:val="20"/>
        </w:rPr>
        <w:t xml:space="preserve">75.Magalhães GF, Santos GN, Rosa MB, et al. </w:t>
      </w:r>
      <w:r w:rsidRPr="009D0841">
        <w:rPr>
          <w:rFonts w:ascii="Times New Roman" w:hAnsi="Times New Roman" w:cs="Times New Roman"/>
          <w:color w:val="auto"/>
          <w:sz w:val="20"/>
          <w:szCs w:val="20"/>
          <w:lang w:val="en-US"/>
        </w:rPr>
        <w:t>Medication reconciliation in patients hospitalized in a cardiology unit. PloSOne 2014;9(12):e115491.</w:t>
      </w:r>
    </w:p>
    <w:p w:rsidR="003C14E1" w:rsidRPr="009D0841" w:rsidRDefault="003C14E1" w:rsidP="007C2BE0">
      <w:pPr>
        <w:pStyle w:val="Default"/>
        <w:spacing w:line="276" w:lineRule="auto"/>
        <w:ind w:left="360"/>
        <w:rPr>
          <w:rFonts w:ascii="Times New Roman" w:hAnsi="Times New Roman" w:cs="Times New Roman"/>
          <w:color w:val="auto"/>
          <w:sz w:val="20"/>
          <w:szCs w:val="20"/>
          <w:lang w:val="en-US"/>
        </w:rPr>
      </w:pPr>
      <w:r w:rsidRPr="009D0841">
        <w:rPr>
          <w:rFonts w:ascii="Times New Roman" w:hAnsi="Times New Roman" w:cs="Times New Roman"/>
          <w:color w:val="auto"/>
          <w:sz w:val="20"/>
          <w:szCs w:val="20"/>
          <w:lang w:val="en-US"/>
        </w:rPr>
        <w:t>76.Surugue J, Vulto AG. The hospital pharmacist: your stakeholder for in-hospital medication safety. EJHP Practice; 2006.Available at: https://ec.europa.eu/health/archive/ph_systems/docs/ev_20080617_rd03_en.pdf (accessed 19 June2020).</w:t>
      </w:r>
    </w:p>
    <w:p w:rsidR="003C14E1" w:rsidRPr="009D0841" w:rsidRDefault="003C14E1" w:rsidP="007C2BE0">
      <w:pPr>
        <w:pStyle w:val="Default"/>
        <w:spacing w:line="276" w:lineRule="auto"/>
        <w:ind w:left="360"/>
        <w:rPr>
          <w:rFonts w:ascii="Times New Roman" w:hAnsi="Times New Roman" w:cs="Times New Roman"/>
          <w:color w:val="auto"/>
          <w:sz w:val="20"/>
          <w:szCs w:val="20"/>
          <w:lang w:val="en-US"/>
        </w:rPr>
      </w:pPr>
      <w:r w:rsidRPr="009D0841">
        <w:rPr>
          <w:rFonts w:ascii="Times New Roman" w:hAnsi="Times New Roman" w:cs="Times New Roman"/>
          <w:color w:val="auto"/>
          <w:sz w:val="20"/>
          <w:szCs w:val="20"/>
          <w:lang w:val="en-US"/>
        </w:rPr>
        <w:t>77.Holmstrom AR, Airaksinen M, Weiss M, et al. National and local medication error reporting systems: a survey ofpractices in 16 countries. J Patient Saf 2012;8(4):165–76.</w:t>
      </w:r>
    </w:p>
    <w:p w:rsidR="003C14E1" w:rsidRPr="009D0841" w:rsidRDefault="007C2BE0" w:rsidP="007C2BE0">
      <w:pPr>
        <w:pStyle w:val="Default"/>
        <w:spacing w:line="276" w:lineRule="auto"/>
        <w:ind w:left="360"/>
        <w:rPr>
          <w:rFonts w:ascii="Times New Roman" w:hAnsi="Times New Roman" w:cs="Times New Roman"/>
          <w:color w:val="auto"/>
          <w:sz w:val="20"/>
          <w:szCs w:val="20"/>
          <w:lang w:val="en-US"/>
        </w:rPr>
      </w:pPr>
      <w:r w:rsidRPr="009D0841">
        <w:rPr>
          <w:rFonts w:ascii="Times New Roman" w:hAnsi="Times New Roman" w:cs="Times New Roman"/>
          <w:color w:val="auto"/>
          <w:sz w:val="20"/>
          <w:szCs w:val="20"/>
          <w:lang w:val="en-US"/>
        </w:rPr>
        <w:lastRenderedPageBreak/>
        <w:t>78</w:t>
      </w:r>
      <w:r w:rsidR="003C14E1" w:rsidRPr="009D0841">
        <w:rPr>
          <w:rFonts w:ascii="Times New Roman" w:hAnsi="Times New Roman" w:cs="Times New Roman"/>
          <w:color w:val="auto"/>
          <w:sz w:val="20"/>
          <w:szCs w:val="20"/>
          <w:lang w:val="en-US"/>
        </w:rPr>
        <w:t>.Pharmacy Council of India. PCI introduction. Available at: http://www.pci.nic.in/GenInfo_About_Introduction.html(accessed 20 June 2020).</w:t>
      </w:r>
    </w:p>
    <w:p w:rsidR="003C14E1" w:rsidRPr="009D0841" w:rsidRDefault="007C2BE0" w:rsidP="007C2BE0">
      <w:pPr>
        <w:pStyle w:val="Default"/>
        <w:spacing w:line="276" w:lineRule="auto"/>
        <w:ind w:left="360"/>
        <w:rPr>
          <w:rFonts w:ascii="Times New Roman" w:hAnsi="Times New Roman" w:cs="Times New Roman"/>
          <w:color w:val="auto"/>
          <w:sz w:val="20"/>
          <w:szCs w:val="20"/>
          <w:lang w:val="en-US"/>
        </w:rPr>
      </w:pPr>
      <w:r w:rsidRPr="009D0841">
        <w:rPr>
          <w:rFonts w:ascii="Times New Roman" w:hAnsi="Times New Roman" w:cs="Times New Roman"/>
          <w:color w:val="auto"/>
          <w:sz w:val="20"/>
          <w:szCs w:val="20"/>
          <w:lang w:val="en-US"/>
        </w:rPr>
        <w:t>79</w:t>
      </w:r>
      <w:r w:rsidR="003C14E1" w:rsidRPr="009D0841">
        <w:rPr>
          <w:rFonts w:ascii="Times New Roman" w:hAnsi="Times New Roman" w:cs="Times New Roman"/>
          <w:color w:val="auto"/>
          <w:sz w:val="20"/>
          <w:szCs w:val="20"/>
          <w:lang w:val="en-US"/>
        </w:rPr>
        <w:t>.Ghana Pharmacy Council. Health Professions Regulatory Bodies Act, 2013 Act 857. Part 4 — Pharmacy Council, Section78-114. Available at: https://www.pcghana.org/wp-content/uploads/2017/02/Health-Professions-Regulatory-Bodies-Act.pdf (accessed 20 June 2020).</w:t>
      </w:r>
    </w:p>
    <w:p w:rsidR="003C14E1" w:rsidRPr="009D0841" w:rsidRDefault="007C2BE0" w:rsidP="007C2BE0">
      <w:pPr>
        <w:pStyle w:val="Default"/>
        <w:spacing w:line="276" w:lineRule="auto"/>
        <w:ind w:left="360"/>
        <w:rPr>
          <w:rFonts w:ascii="Times New Roman" w:hAnsi="Times New Roman" w:cs="Times New Roman"/>
          <w:color w:val="auto"/>
          <w:sz w:val="20"/>
          <w:szCs w:val="20"/>
          <w:lang w:val="en-US"/>
        </w:rPr>
      </w:pPr>
      <w:r w:rsidRPr="009D0841">
        <w:rPr>
          <w:rFonts w:ascii="Times New Roman" w:hAnsi="Times New Roman" w:cs="Times New Roman"/>
          <w:color w:val="auto"/>
          <w:sz w:val="20"/>
          <w:szCs w:val="20"/>
          <w:lang w:val="en-US"/>
        </w:rPr>
        <w:t>80</w:t>
      </w:r>
      <w:r w:rsidR="003C14E1" w:rsidRPr="009D0841">
        <w:rPr>
          <w:rFonts w:ascii="Times New Roman" w:hAnsi="Times New Roman" w:cs="Times New Roman"/>
          <w:color w:val="auto"/>
          <w:sz w:val="20"/>
          <w:szCs w:val="20"/>
          <w:lang w:val="en-US"/>
        </w:rPr>
        <w:t>.Benton D, Thomas K, Damgaard G, et al. Exploring the differences between regulatory bodies, professionalassociations, and trade unions: An integrative review. J Nursing Reg 2017;8(3):4–11.</w:t>
      </w:r>
    </w:p>
    <w:p w:rsidR="007C2BE0" w:rsidRPr="009D0841" w:rsidRDefault="007C2BE0" w:rsidP="007C2BE0">
      <w:pPr>
        <w:pStyle w:val="Default"/>
        <w:spacing w:line="276" w:lineRule="auto"/>
        <w:ind w:left="360"/>
        <w:rPr>
          <w:rFonts w:ascii="Times New Roman" w:hAnsi="Times New Roman" w:cs="Times New Roman"/>
          <w:color w:val="auto"/>
          <w:sz w:val="20"/>
          <w:szCs w:val="20"/>
          <w:lang w:val="en-US"/>
        </w:rPr>
      </w:pPr>
      <w:r w:rsidRPr="009D0841">
        <w:rPr>
          <w:rFonts w:ascii="Times New Roman" w:hAnsi="Times New Roman" w:cs="Times New Roman"/>
          <w:color w:val="auto"/>
          <w:sz w:val="20"/>
          <w:szCs w:val="20"/>
          <w:lang w:val="en-US"/>
        </w:rPr>
        <w:t>81</w:t>
      </w:r>
      <w:r w:rsidR="003C14E1" w:rsidRPr="009D0841">
        <w:rPr>
          <w:rFonts w:ascii="Times New Roman" w:hAnsi="Times New Roman" w:cs="Times New Roman"/>
          <w:color w:val="auto"/>
          <w:sz w:val="20"/>
          <w:szCs w:val="20"/>
          <w:lang w:val="en-US"/>
        </w:rPr>
        <w:t>.US Food Drug Administration. Safety considerations for product design to minimize medication errors: Guidance forindustry. Available at: https://www.fda.gov/media/84903/download (accessed 20 June 2020).</w:t>
      </w:r>
    </w:p>
    <w:p w:rsidR="003C14E1" w:rsidRPr="009D0841" w:rsidRDefault="007C2BE0" w:rsidP="007C2BE0">
      <w:pPr>
        <w:pStyle w:val="Default"/>
        <w:spacing w:line="276" w:lineRule="auto"/>
        <w:ind w:left="360"/>
        <w:rPr>
          <w:rFonts w:ascii="Times New Roman" w:hAnsi="Times New Roman" w:cs="Times New Roman"/>
          <w:color w:val="auto"/>
          <w:sz w:val="20"/>
          <w:szCs w:val="20"/>
          <w:lang w:val="en-US"/>
        </w:rPr>
      </w:pPr>
      <w:r w:rsidRPr="009D0841">
        <w:rPr>
          <w:rFonts w:ascii="Times New Roman" w:hAnsi="Times New Roman" w:cs="Times New Roman"/>
          <w:color w:val="auto"/>
          <w:sz w:val="20"/>
          <w:szCs w:val="20"/>
          <w:lang w:val="en-US"/>
        </w:rPr>
        <w:t xml:space="preserve">82. </w:t>
      </w:r>
      <w:r w:rsidR="003C14E1" w:rsidRPr="009D0841">
        <w:rPr>
          <w:rFonts w:ascii="Times New Roman" w:hAnsi="Times New Roman" w:cs="Times New Roman"/>
          <w:color w:val="auto"/>
          <w:sz w:val="20"/>
          <w:szCs w:val="20"/>
          <w:lang w:val="en-US"/>
        </w:rPr>
        <w:t>Institute of Medicine. Preventing medication errors. Washington DC: National Academies Press; 2007.</w:t>
      </w:r>
    </w:p>
    <w:p w:rsidR="003C14E1" w:rsidRPr="009D0841" w:rsidRDefault="00E9170B" w:rsidP="007C2BE0">
      <w:pPr>
        <w:pStyle w:val="Default"/>
        <w:spacing w:line="276" w:lineRule="auto"/>
        <w:ind w:left="360"/>
        <w:rPr>
          <w:rFonts w:ascii="Times New Roman" w:hAnsi="Times New Roman" w:cs="Times New Roman"/>
          <w:color w:val="auto"/>
          <w:sz w:val="20"/>
          <w:szCs w:val="20"/>
          <w:lang w:val="en-US"/>
        </w:rPr>
      </w:pPr>
      <w:r w:rsidRPr="009D0841">
        <w:rPr>
          <w:rFonts w:ascii="Times New Roman" w:hAnsi="Times New Roman" w:cs="Times New Roman"/>
          <w:color w:val="auto"/>
          <w:sz w:val="20"/>
          <w:szCs w:val="20"/>
          <w:lang w:val="en-US"/>
        </w:rPr>
        <w:t>83</w:t>
      </w:r>
      <w:r w:rsidR="003C14E1" w:rsidRPr="009D0841">
        <w:rPr>
          <w:rFonts w:ascii="Times New Roman" w:hAnsi="Times New Roman" w:cs="Times New Roman"/>
          <w:color w:val="auto"/>
          <w:sz w:val="20"/>
          <w:szCs w:val="20"/>
          <w:lang w:val="en-US"/>
        </w:rPr>
        <w:t>.Sustersic M, Gauchet A, Foote A, et al. How best to use and evaluate patient information leaflets given during aconsultation: a systematic review of literature reviews. Health Expectations 2017;20(4):531_42.</w:t>
      </w:r>
    </w:p>
    <w:p w:rsidR="003C14E1" w:rsidRPr="009D0841" w:rsidRDefault="00E9170B" w:rsidP="007C2BE0">
      <w:pPr>
        <w:pStyle w:val="Default"/>
        <w:spacing w:line="276" w:lineRule="auto"/>
        <w:ind w:left="360"/>
        <w:rPr>
          <w:rFonts w:ascii="Times New Roman" w:hAnsi="Times New Roman" w:cs="Times New Roman"/>
          <w:color w:val="auto"/>
          <w:sz w:val="20"/>
          <w:szCs w:val="20"/>
          <w:lang w:val="en-US"/>
        </w:rPr>
      </w:pPr>
      <w:r w:rsidRPr="009D0841">
        <w:rPr>
          <w:rFonts w:ascii="Times New Roman" w:hAnsi="Times New Roman" w:cs="Times New Roman"/>
          <w:color w:val="auto"/>
          <w:sz w:val="20"/>
          <w:szCs w:val="20"/>
          <w:lang w:val="en-US"/>
        </w:rPr>
        <w:t>84</w:t>
      </w:r>
      <w:r w:rsidR="003C14E1" w:rsidRPr="009D0841">
        <w:rPr>
          <w:rFonts w:ascii="Times New Roman" w:hAnsi="Times New Roman" w:cs="Times New Roman"/>
          <w:color w:val="auto"/>
          <w:sz w:val="20"/>
          <w:szCs w:val="20"/>
          <w:lang w:val="en-US"/>
        </w:rPr>
        <w:t>.European Medicines Agency. Recommendations on medication errors. Available at:https://www.ema.europa.eu/en/human-regulatory/post-authorisation/pharmacovigilance/medication-errors/recommendations-medication-errors (accessed 20 June 2020).</w:t>
      </w:r>
    </w:p>
    <w:p w:rsidR="003C14E1" w:rsidRPr="009D0841" w:rsidRDefault="00E9170B" w:rsidP="007C2BE0">
      <w:pPr>
        <w:pStyle w:val="Default"/>
        <w:spacing w:line="276" w:lineRule="auto"/>
        <w:ind w:left="360"/>
        <w:rPr>
          <w:rFonts w:ascii="Times New Roman" w:hAnsi="Times New Roman" w:cs="Times New Roman"/>
          <w:color w:val="auto"/>
          <w:sz w:val="20"/>
          <w:szCs w:val="20"/>
          <w:lang w:val="en-US"/>
        </w:rPr>
      </w:pPr>
      <w:r w:rsidRPr="009D0841">
        <w:rPr>
          <w:rFonts w:ascii="Times New Roman" w:hAnsi="Times New Roman" w:cs="Times New Roman"/>
          <w:color w:val="auto"/>
          <w:sz w:val="20"/>
          <w:szCs w:val="20"/>
          <w:lang w:val="en-US"/>
        </w:rPr>
        <w:t>85</w:t>
      </w:r>
      <w:r w:rsidR="003C14E1" w:rsidRPr="009D0841">
        <w:rPr>
          <w:rFonts w:ascii="Times New Roman" w:hAnsi="Times New Roman" w:cs="Times New Roman"/>
          <w:color w:val="auto"/>
          <w:sz w:val="20"/>
          <w:szCs w:val="20"/>
          <w:lang w:val="en-US"/>
        </w:rPr>
        <w:t>.McCoy LK. Look-alike, sound-alike drugs review: include look-alike packaging as an additional safety check. Jt Comm JQual Patient Saf 2005;31(1):47–53.</w:t>
      </w:r>
    </w:p>
    <w:p w:rsidR="003C14E1" w:rsidRPr="009D0841" w:rsidRDefault="00E9170B" w:rsidP="007C2BE0">
      <w:pPr>
        <w:pStyle w:val="Default"/>
        <w:spacing w:line="276" w:lineRule="auto"/>
        <w:ind w:left="360"/>
        <w:rPr>
          <w:rFonts w:ascii="Times New Roman" w:hAnsi="Times New Roman" w:cs="Times New Roman"/>
          <w:color w:val="auto"/>
          <w:sz w:val="20"/>
          <w:szCs w:val="20"/>
          <w:lang w:val="en-US"/>
        </w:rPr>
      </w:pPr>
      <w:r w:rsidRPr="009D0841">
        <w:rPr>
          <w:rFonts w:ascii="Times New Roman" w:hAnsi="Times New Roman" w:cs="Times New Roman"/>
          <w:color w:val="auto"/>
          <w:sz w:val="20"/>
          <w:szCs w:val="20"/>
          <w:lang w:val="en-US"/>
        </w:rPr>
        <w:t>86</w:t>
      </w:r>
      <w:r w:rsidR="003C14E1" w:rsidRPr="009D0841">
        <w:rPr>
          <w:rFonts w:ascii="Times New Roman" w:hAnsi="Times New Roman" w:cs="Times New Roman"/>
          <w:color w:val="auto"/>
          <w:sz w:val="20"/>
          <w:szCs w:val="20"/>
          <w:lang w:val="en-US"/>
        </w:rPr>
        <w:t>.Hoffman JM, Proulx SM. Medication errors caused by confusion of drug names. Drug Saf 2003;26(7):445–52.</w:t>
      </w:r>
    </w:p>
    <w:p w:rsidR="003C14E1" w:rsidRPr="009D0841" w:rsidRDefault="00E9170B" w:rsidP="007C2BE0">
      <w:pPr>
        <w:pStyle w:val="Default"/>
        <w:spacing w:line="276" w:lineRule="auto"/>
        <w:ind w:left="360"/>
        <w:rPr>
          <w:rFonts w:ascii="Times New Roman" w:hAnsi="Times New Roman" w:cs="Times New Roman"/>
          <w:color w:val="auto"/>
          <w:sz w:val="20"/>
          <w:szCs w:val="20"/>
          <w:lang w:val="en-US"/>
        </w:rPr>
      </w:pPr>
      <w:r w:rsidRPr="009D0841">
        <w:rPr>
          <w:rFonts w:ascii="Times New Roman" w:hAnsi="Times New Roman" w:cs="Times New Roman"/>
          <w:color w:val="auto"/>
          <w:sz w:val="20"/>
          <w:szCs w:val="20"/>
          <w:lang w:val="en-US"/>
        </w:rPr>
        <w:t>87</w:t>
      </w:r>
      <w:r w:rsidR="003C14E1" w:rsidRPr="009D0841">
        <w:rPr>
          <w:rFonts w:ascii="Times New Roman" w:hAnsi="Times New Roman" w:cs="Times New Roman"/>
          <w:color w:val="auto"/>
          <w:sz w:val="20"/>
          <w:szCs w:val="20"/>
          <w:lang w:val="en-US"/>
        </w:rPr>
        <w:t>.Gam V. Safe drug dispensing. Presentation delivered 4 July 2007 in a Seminar on Safe Dispensing in Private Clinicsorganised by Community Network led by Yau Tsim Mong from The Hong Kong Medical Association.</w:t>
      </w:r>
    </w:p>
    <w:p w:rsidR="003C14E1" w:rsidRPr="009D0841" w:rsidRDefault="00E9170B" w:rsidP="007C2BE0">
      <w:pPr>
        <w:pStyle w:val="Default"/>
        <w:spacing w:line="276" w:lineRule="auto"/>
        <w:ind w:left="360"/>
        <w:rPr>
          <w:rFonts w:ascii="Times New Roman" w:hAnsi="Times New Roman" w:cs="Times New Roman"/>
          <w:color w:val="auto"/>
          <w:sz w:val="20"/>
          <w:szCs w:val="20"/>
          <w:lang w:val="en-US"/>
        </w:rPr>
      </w:pPr>
      <w:r w:rsidRPr="009D0841">
        <w:rPr>
          <w:rFonts w:ascii="Times New Roman" w:hAnsi="Times New Roman" w:cs="Times New Roman"/>
          <w:color w:val="auto"/>
          <w:sz w:val="20"/>
          <w:szCs w:val="20"/>
          <w:lang w:val="en-US"/>
        </w:rPr>
        <w:t>88</w:t>
      </w:r>
      <w:r w:rsidR="003C14E1" w:rsidRPr="009D0841">
        <w:rPr>
          <w:rFonts w:ascii="Times New Roman" w:hAnsi="Times New Roman" w:cs="Times New Roman"/>
          <w:color w:val="auto"/>
          <w:sz w:val="20"/>
          <w:szCs w:val="20"/>
          <w:lang w:val="en-US"/>
        </w:rPr>
        <w:t>.WHO Collaborating Centre for Patient Safety Solutions. Look-alike, sound-alike medication names Available at:https://www.who.int/patientsafety/solutions/patientsafety/PS-Solution1.pdf (accessed 20 June 2020).</w:t>
      </w:r>
    </w:p>
    <w:p w:rsidR="003C14E1" w:rsidRPr="009D0841" w:rsidRDefault="00E9170B" w:rsidP="007C2BE0">
      <w:pPr>
        <w:pStyle w:val="Default"/>
        <w:spacing w:line="276" w:lineRule="auto"/>
        <w:ind w:left="360"/>
        <w:rPr>
          <w:rFonts w:ascii="Times New Roman" w:hAnsi="Times New Roman" w:cs="Times New Roman"/>
          <w:color w:val="auto"/>
          <w:sz w:val="20"/>
          <w:szCs w:val="20"/>
          <w:lang w:val="en-US"/>
        </w:rPr>
      </w:pPr>
      <w:r w:rsidRPr="009D0841">
        <w:rPr>
          <w:rFonts w:ascii="Times New Roman" w:hAnsi="Times New Roman" w:cs="Times New Roman"/>
          <w:color w:val="auto"/>
          <w:sz w:val="20"/>
          <w:szCs w:val="20"/>
          <w:lang w:val="en-US"/>
        </w:rPr>
        <w:t>89</w:t>
      </w:r>
      <w:r w:rsidR="003C14E1" w:rsidRPr="009D0841">
        <w:rPr>
          <w:rFonts w:ascii="Times New Roman" w:hAnsi="Times New Roman" w:cs="Times New Roman"/>
          <w:color w:val="auto"/>
          <w:sz w:val="20"/>
          <w:szCs w:val="20"/>
          <w:lang w:val="en-US"/>
        </w:rPr>
        <w:t>.Vogt EM, Robinson DC, Chambers-Fox SL. Educating for safety in the pharmacy curriculum. Am J Pharm Educ2011;75(7):140.</w:t>
      </w:r>
    </w:p>
    <w:p w:rsidR="003C14E1" w:rsidRPr="009D0841" w:rsidRDefault="00E9170B" w:rsidP="007C2BE0">
      <w:pPr>
        <w:pStyle w:val="Default"/>
        <w:spacing w:line="276" w:lineRule="auto"/>
        <w:ind w:left="360"/>
        <w:rPr>
          <w:rFonts w:ascii="Times New Roman" w:hAnsi="Times New Roman" w:cs="Times New Roman"/>
          <w:color w:val="auto"/>
          <w:sz w:val="20"/>
          <w:szCs w:val="20"/>
          <w:lang w:val="en-US"/>
        </w:rPr>
      </w:pPr>
      <w:r w:rsidRPr="009D0841">
        <w:rPr>
          <w:rFonts w:ascii="Times New Roman" w:hAnsi="Times New Roman" w:cs="Times New Roman"/>
          <w:color w:val="auto"/>
          <w:sz w:val="20"/>
          <w:szCs w:val="20"/>
          <w:lang w:val="en-US"/>
        </w:rPr>
        <w:t>90</w:t>
      </w:r>
      <w:r w:rsidR="003C14E1" w:rsidRPr="009D0841">
        <w:rPr>
          <w:rFonts w:ascii="Times New Roman" w:hAnsi="Times New Roman" w:cs="Times New Roman"/>
          <w:color w:val="auto"/>
          <w:sz w:val="20"/>
          <w:szCs w:val="20"/>
          <w:lang w:val="en-US"/>
        </w:rPr>
        <w:t xml:space="preserve">.World Health Organization. Patient safety research — A guide for developing training programmes. Available at:https://www.who.int/patientsafety/topics/research/developing_research_training_programmes/en/ (accessed 20June 2020). </w:t>
      </w:r>
    </w:p>
    <w:p w:rsidR="00E9170B" w:rsidRPr="009D0841" w:rsidRDefault="00E9170B" w:rsidP="00E9170B">
      <w:pPr>
        <w:pStyle w:val="Default"/>
        <w:spacing w:line="276" w:lineRule="auto"/>
        <w:ind w:left="360"/>
        <w:rPr>
          <w:rFonts w:ascii="Times New Roman" w:hAnsi="Times New Roman" w:cs="Times New Roman"/>
          <w:color w:val="auto"/>
          <w:sz w:val="20"/>
          <w:szCs w:val="20"/>
        </w:rPr>
      </w:pPr>
      <w:r w:rsidRPr="009D0841">
        <w:rPr>
          <w:rFonts w:ascii="Times New Roman" w:hAnsi="Times New Roman" w:cs="Times New Roman"/>
          <w:color w:val="auto"/>
          <w:sz w:val="20"/>
          <w:szCs w:val="20"/>
          <w:lang w:val="en-US"/>
        </w:rPr>
        <w:t>91</w:t>
      </w:r>
      <w:r w:rsidR="003C14E1" w:rsidRPr="009D0841">
        <w:rPr>
          <w:rFonts w:ascii="Times New Roman" w:hAnsi="Times New Roman" w:cs="Times New Roman"/>
          <w:color w:val="auto"/>
          <w:sz w:val="20"/>
          <w:szCs w:val="20"/>
          <w:lang w:val="en-US"/>
        </w:rPr>
        <w:t xml:space="preserve">.International Pharmaceutical Federation. FIP Education initiatives — Pharmacy education taskforce: A globalcompetency framework. </w:t>
      </w:r>
      <w:r w:rsidR="003C14E1" w:rsidRPr="009D0841">
        <w:rPr>
          <w:rFonts w:ascii="Times New Roman" w:hAnsi="Times New Roman" w:cs="Times New Roman"/>
          <w:color w:val="auto"/>
          <w:sz w:val="20"/>
          <w:szCs w:val="20"/>
        </w:rPr>
        <w:t>The Hague: FIP; 2012.</w:t>
      </w:r>
    </w:p>
    <w:p w:rsidR="00E9170B" w:rsidRPr="009D0841" w:rsidRDefault="00E9170B" w:rsidP="00E9170B">
      <w:pPr>
        <w:pStyle w:val="Default"/>
        <w:spacing w:line="276" w:lineRule="auto"/>
        <w:ind w:left="360"/>
        <w:rPr>
          <w:rFonts w:ascii="Times New Roman" w:hAnsi="Times New Roman" w:cs="Times New Roman"/>
          <w:sz w:val="20"/>
          <w:szCs w:val="20"/>
          <w:lang w:val="en-US"/>
        </w:rPr>
      </w:pPr>
      <w:r w:rsidRPr="009D0841">
        <w:rPr>
          <w:rFonts w:ascii="Times New Roman" w:hAnsi="Times New Roman" w:cs="Times New Roman"/>
          <w:color w:val="auto"/>
          <w:sz w:val="20"/>
          <w:szCs w:val="20"/>
        </w:rPr>
        <w:t>92</w:t>
      </w:r>
      <w:r w:rsidR="0018349B" w:rsidRPr="009D0841">
        <w:rPr>
          <w:rFonts w:ascii="Times New Roman" w:hAnsi="Times New Roman" w:cs="Times New Roman"/>
          <w:sz w:val="20"/>
          <w:szCs w:val="20"/>
          <w:lang w:val="en-US"/>
        </w:rPr>
        <w:t>. Kilroy RA, Iafrate RP. Provision of pharmaceutical care in the intensive care unit. Crit Care</w:t>
      </w:r>
      <w:r w:rsidRPr="009D0841">
        <w:rPr>
          <w:rFonts w:ascii="Times New Roman" w:hAnsi="Times New Roman" w:cs="Times New Roman"/>
          <w:sz w:val="20"/>
          <w:szCs w:val="20"/>
          <w:lang w:val="en-US"/>
        </w:rPr>
        <w:t xml:space="preserve"> </w:t>
      </w:r>
      <w:r w:rsidR="0018349B" w:rsidRPr="009D0841">
        <w:rPr>
          <w:rFonts w:ascii="Times New Roman" w:hAnsi="Times New Roman" w:cs="Times New Roman"/>
          <w:sz w:val="20"/>
          <w:szCs w:val="20"/>
          <w:lang w:val="en-US"/>
        </w:rPr>
        <w:t>Nurs Clin N Am 1993;5:221-225</w:t>
      </w:r>
    </w:p>
    <w:p w:rsidR="00E9170B" w:rsidRPr="009D0841" w:rsidRDefault="00E9170B" w:rsidP="00E9170B">
      <w:pPr>
        <w:pStyle w:val="Default"/>
        <w:spacing w:line="276" w:lineRule="auto"/>
        <w:ind w:left="360"/>
        <w:rPr>
          <w:rFonts w:ascii="Times New Roman" w:hAnsi="Times New Roman" w:cs="Times New Roman"/>
          <w:sz w:val="20"/>
          <w:szCs w:val="20"/>
          <w:lang w:val="en-US"/>
        </w:rPr>
      </w:pPr>
      <w:r w:rsidRPr="009D0841">
        <w:rPr>
          <w:rFonts w:ascii="Times New Roman" w:hAnsi="Times New Roman" w:cs="Times New Roman"/>
          <w:sz w:val="20"/>
          <w:szCs w:val="20"/>
          <w:lang w:val="en-US"/>
        </w:rPr>
        <w:t>93</w:t>
      </w:r>
      <w:r w:rsidR="0018349B" w:rsidRPr="009D0841">
        <w:rPr>
          <w:rFonts w:ascii="Times New Roman" w:hAnsi="Times New Roman" w:cs="Times New Roman"/>
          <w:sz w:val="20"/>
          <w:szCs w:val="20"/>
          <w:lang w:val="en-US"/>
        </w:rPr>
        <w:t>. Bootman JL, Johnson JA. Drug Related Morbidity and Mortality. A cost of illness model.Arch Intern Med 1995;155:1949-56</w:t>
      </w:r>
    </w:p>
    <w:p w:rsidR="00E9170B" w:rsidRPr="009D0841" w:rsidRDefault="00E9170B" w:rsidP="00E9170B">
      <w:pPr>
        <w:pStyle w:val="Default"/>
        <w:spacing w:line="276" w:lineRule="auto"/>
        <w:ind w:left="360"/>
        <w:rPr>
          <w:rFonts w:ascii="Times New Roman" w:hAnsi="Times New Roman" w:cs="Times New Roman"/>
          <w:sz w:val="20"/>
          <w:szCs w:val="20"/>
          <w:lang w:val="en-US"/>
        </w:rPr>
      </w:pPr>
      <w:r w:rsidRPr="009D0841">
        <w:rPr>
          <w:rFonts w:ascii="Times New Roman" w:hAnsi="Times New Roman" w:cs="Times New Roman"/>
          <w:sz w:val="20"/>
          <w:szCs w:val="20"/>
          <w:lang w:val="en-US"/>
        </w:rPr>
        <w:t>94</w:t>
      </w:r>
      <w:r w:rsidR="0018349B" w:rsidRPr="009D0841">
        <w:rPr>
          <w:rFonts w:ascii="Times New Roman" w:hAnsi="Times New Roman" w:cs="Times New Roman"/>
          <w:sz w:val="20"/>
          <w:szCs w:val="20"/>
          <w:lang w:val="en-US"/>
        </w:rPr>
        <w:t>. Bond C, Raehl C, Franke T. Clinical Pharmacy Services, Hospital Pharmacy Staffing, and</w:t>
      </w:r>
      <w:r w:rsidRPr="009D0841">
        <w:rPr>
          <w:rFonts w:ascii="Times New Roman" w:hAnsi="Times New Roman" w:cs="Times New Roman"/>
          <w:sz w:val="20"/>
          <w:szCs w:val="20"/>
          <w:lang w:val="en-US"/>
        </w:rPr>
        <w:t xml:space="preserve"> </w:t>
      </w:r>
      <w:r w:rsidR="0018349B" w:rsidRPr="009D0841">
        <w:rPr>
          <w:rFonts w:ascii="Times New Roman" w:hAnsi="Times New Roman" w:cs="Times New Roman"/>
          <w:sz w:val="20"/>
          <w:szCs w:val="20"/>
          <w:lang w:val="en-US"/>
        </w:rPr>
        <w:t>Medication Errors in the United States Hospitals. Pharmacotherapy 2002; 22:134-47</w:t>
      </w:r>
    </w:p>
    <w:p w:rsidR="00E9170B" w:rsidRPr="009D0841" w:rsidRDefault="00E9170B" w:rsidP="00E9170B">
      <w:pPr>
        <w:pStyle w:val="Default"/>
        <w:spacing w:line="276" w:lineRule="auto"/>
        <w:ind w:left="360"/>
        <w:rPr>
          <w:rFonts w:ascii="Times New Roman" w:hAnsi="Times New Roman" w:cs="Times New Roman"/>
          <w:sz w:val="20"/>
          <w:szCs w:val="20"/>
          <w:lang w:val="en-US"/>
        </w:rPr>
      </w:pPr>
      <w:r w:rsidRPr="009D0841">
        <w:rPr>
          <w:rFonts w:ascii="Times New Roman" w:hAnsi="Times New Roman" w:cs="Times New Roman"/>
          <w:sz w:val="20"/>
          <w:szCs w:val="20"/>
          <w:lang w:val="en-US"/>
        </w:rPr>
        <w:t>95</w:t>
      </w:r>
      <w:r w:rsidR="0018349B" w:rsidRPr="009D0841">
        <w:rPr>
          <w:rFonts w:ascii="Times New Roman" w:hAnsi="Times New Roman" w:cs="Times New Roman"/>
          <w:sz w:val="20"/>
          <w:szCs w:val="20"/>
          <w:lang w:val="en-US"/>
        </w:rPr>
        <w:t>. Kaushal R, Bates DW, Landrigan C, et al. Medication errors and adverse drug events inpediatric inpatients. JAMA 2001;285:2114-2120</w:t>
      </w:r>
    </w:p>
    <w:p w:rsidR="00E9170B" w:rsidRPr="009D0841" w:rsidRDefault="00E9170B" w:rsidP="00E9170B">
      <w:pPr>
        <w:pStyle w:val="Default"/>
        <w:spacing w:line="276" w:lineRule="auto"/>
        <w:ind w:left="360"/>
        <w:rPr>
          <w:rFonts w:ascii="Times New Roman" w:hAnsi="Times New Roman" w:cs="Times New Roman"/>
          <w:sz w:val="20"/>
          <w:szCs w:val="20"/>
          <w:lang w:val="en-US"/>
        </w:rPr>
      </w:pPr>
      <w:r w:rsidRPr="009D0841">
        <w:rPr>
          <w:rFonts w:ascii="Times New Roman" w:hAnsi="Times New Roman" w:cs="Times New Roman"/>
          <w:sz w:val="20"/>
          <w:szCs w:val="20"/>
          <w:lang w:val="en-US"/>
        </w:rPr>
        <w:t>96</w:t>
      </w:r>
      <w:r w:rsidR="0018349B" w:rsidRPr="009D0841">
        <w:rPr>
          <w:rFonts w:ascii="Times New Roman" w:hAnsi="Times New Roman" w:cs="Times New Roman"/>
          <w:sz w:val="20"/>
          <w:szCs w:val="20"/>
          <w:lang w:val="en-US"/>
        </w:rPr>
        <w:t>. Scarsi KK, Fotis MA, Noskin GA. Pharmacist Participation in Medical Rounds Reduces</w:t>
      </w:r>
      <w:r w:rsidRPr="009D0841">
        <w:rPr>
          <w:rFonts w:ascii="Times New Roman" w:hAnsi="Times New Roman" w:cs="Times New Roman"/>
          <w:sz w:val="20"/>
          <w:szCs w:val="20"/>
          <w:lang w:val="en-US"/>
        </w:rPr>
        <w:t xml:space="preserve"> </w:t>
      </w:r>
      <w:r w:rsidR="0018349B" w:rsidRPr="009D0841">
        <w:rPr>
          <w:rFonts w:ascii="Times New Roman" w:hAnsi="Times New Roman" w:cs="Times New Roman"/>
          <w:sz w:val="20"/>
          <w:szCs w:val="20"/>
          <w:lang w:val="en-US"/>
        </w:rPr>
        <w:t>Medication Errors. Am J Health-Syst Pharm 2002; 59(21):2089-2092</w:t>
      </w:r>
    </w:p>
    <w:p w:rsidR="00E9170B" w:rsidRPr="009D0841" w:rsidRDefault="00E9170B" w:rsidP="00E9170B">
      <w:pPr>
        <w:pStyle w:val="Default"/>
        <w:spacing w:line="276" w:lineRule="auto"/>
        <w:ind w:left="360"/>
        <w:rPr>
          <w:rFonts w:ascii="Times New Roman" w:hAnsi="Times New Roman" w:cs="Times New Roman"/>
          <w:sz w:val="20"/>
          <w:szCs w:val="20"/>
          <w:lang w:val="en-US"/>
        </w:rPr>
      </w:pPr>
      <w:r w:rsidRPr="009D0841">
        <w:rPr>
          <w:rFonts w:ascii="Times New Roman" w:hAnsi="Times New Roman" w:cs="Times New Roman"/>
          <w:sz w:val="20"/>
          <w:szCs w:val="20"/>
          <w:lang w:val="en-US"/>
        </w:rPr>
        <w:t>97</w:t>
      </w:r>
      <w:r w:rsidR="0018349B" w:rsidRPr="009D0841">
        <w:rPr>
          <w:rFonts w:ascii="Times New Roman" w:hAnsi="Times New Roman" w:cs="Times New Roman"/>
          <w:sz w:val="20"/>
          <w:szCs w:val="20"/>
          <w:lang w:val="en-US"/>
        </w:rPr>
        <w:t>. Kucukarslan SN, Peters M, Mulnarek M, Nafziger DA. Pharmacists on rounding teams</w:t>
      </w:r>
      <w:r w:rsidRPr="009D0841">
        <w:rPr>
          <w:rFonts w:ascii="Times New Roman" w:hAnsi="Times New Roman" w:cs="Times New Roman"/>
          <w:sz w:val="20"/>
          <w:szCs w:val="20"/>
          <w:lang w:val="en-US"/>
        </w:rPr>
        <w:t xml:space="preserve"> </w:t>
      </w:r>
      <w:r w:rsidR="0018349B" w:rsidRPr="009D0841">
        <w:rPr>
          <w:rFonts w:ascii="Times New Roman" w:hAnsi="Times New Roman" w:cs="Times New Roman"/>
          <w:sz w:val="20"/>
          <w:szCs w:val="20"/>
          <w:lang w:val="en-US"/>
        </w:rPr>
        <w:t>reduce preventable adverse drug events in hospital general medicine units. Arch Intern Med</w:t>
      </w:r>
      <w:r w:rsidRPr="009D0841">
        <w:rPr>
          <w:rFonts w:ascii="Times New Roman" w:hAnsi="Times New Roman" w:cs="Times New Roman"/>
          <w:sz w:val="20"/>
          <w:szCs w:val="20"/>
          <w:lang w:val="en-US"/>
        </w:rPr>
        <w:t xml:space="preserve"> </w:t>
      </w:r>
      <w:r w:rsidR="0018349B" w:rsidRPr="009D0841">
        <w:rPr>
          <w:rFonts w:ascii="Times New Roman" w:hAnsi="Times New Roman" w:cs="Times New Roman"/>
          <w:sz w:val="20"/>
          <w:szCs w:val="20"/>
          <w:lang w:val="en-US"/>
        </w:rPr>
        <w:t>2003; 163:2014-2018</w:t>
      </w:r>
    </w:p>
    <w:p w:rsidR="00E9170B" w:rsidRPr="009D0841" w:rsidRDefault="00E9170B" w:rsidP="00E9170B">
      <w:pPr>
        <w:pStyle w:val="Default"/>
        <w:spacing w:line="276" w:lineRule="auto"/>
        <w:ind w:left="360"/>
        <w:rPr>
          <w:rFonts w:ascii="Times New Roman" w:hAnsi="Times New Roman" w:cs="Times New Roman"/>
          <w:sz w:val="20"/>
          <w:szCs w:val="20"/>
          <w:lang w:val="en-US"/>
        </w:rPr>
      </w:pPr>
      <w:r w:rsidRPr="009D0841">
        <w:rPr>
          <w:rFonts w:ascii="Times New Roman" w:hAnsi="Times New Roman" w:cs="Times New Roman"/>
          <w:sz w:val="20"/>
          <w:szCs w:val="20"/>
          <w:lang w:val="en-US"/>
        </w:rPr>
        <w:t>98</w:t>
      </w:r>
      <w:r w:rsidR="0018349B" w:rsidRPr="009D0841">
        <w:rPr>
          <w:rFonts w:ascii="Times New Roman" w:hAnsi="Times New Roman" w:cs="Times New Roman"/>
          <w:sz w:val="20"/>
          <w:szCs w:val="20"/>
          <w:lang w:val="en-US"/>
        </w:rPr>
        <w:t>. Fortescue EB, Kaushal R, Landrigan CP, et al. Prioritizing strategies for preventing</w:t>
      </w:r>
      <w:r w:rsidRPr="009D0841">
        <w:rPr>
          <w:rFonts w:ascii="Times New Roman" w:hAnsi="Times New Roman" w:cs="Times New Roman"/>
          <w:sz w:val="20"/>
          <w:szCs w:val="20"/>
          <w:lang w:val="en-US"/>
        </w:rPr>
        <w:t xml:space="preserve"> </w:t>
      </w:r>
      <w:r w:rsidR="0018349B" w:rsidRPr="009D0841">
        <w:rPr>
          <w:rFonts w:ascii="Times New Roman" w:hAnsi="Times New Roman" w:cs="Times New Roman"/>
          <w:sz w:val="20"/>
          <w:szCs w:val="20"/>
          <w:lang w:val="en-US"/>
        </w:rPr>
        <w:t>medication errors and adverse drug events in pediatric inpatients. Pediatrics 2003;111(4):722-729</w:t>
      </w:r>
    </w:p>
    <w:p w:rsidR="00E9170B" w:rsidRPr="009D0841" w:rsidRDefault="00E9170B" w:rsidP="00E9170B">
      <w:pPr>
        <w:pStyle w:val="Default"/>
        <w:spacing w:line="276" w:lineRule="auto"/>
        <w:ind w:left="360"/>
        <w:rPr>
          <w:rFonts w:ascii="Times New Roman" w:hAnsi="Times New Roman" w:cs="Times New Roman"/>
          <w:sz w:val="20"/>
          <w:szCs w:val="20"/>
          <w:lang w:val="en-US"/>
        </w:rPr>
      </w:pPr>
      <w:r w:rsidRPr="009D0841">
        <w:rPr>
          <w:rFonts w:ascii="Times New Roman" w:hAnsi="Times New Roman" w:cs="Times New Roman"/>
          <w:sz w:val="20"/>
          <w:szCs w:val="20"/>
          <w:lang w:val="en-US"/>
        </w:rPr>
        <w:t>99</w:t>
      </w:r>
      <w:r w:rsidR="0018349B" w:rsidRPr="009D0841">
        <w:rPr>
          <w:rFonts w:ascii="Times New Roman" w:hAnsi="Times New Roman" w:cs="Times New Roman"/>
          <w:sz w:val="20"/>
          <w:szCs w:val="20"/>
          <w:lang w:val="en-US"/>
        </w:rPr>
        <w:t>. Canadian Society of Hospital Pharmacists. An Information Paper on Pharmacist Prescribing</w:t>
      </w:r>
      <w:r w:rsidRPr="009D0841">
        <w:rPr>
          <w:rFonts w:ascii="Times New Roman" w:hAnsi="Times New Roman" w:cs="Times New Roman"/>
          <w:sz w:val="20"/>
          <w:szCs w:val="20"/>
          <w:lang w:val="en-US"/>
        </w:rPr>
        <w:t xml:space="preserve"> </w:t>
      </w:r>
      <w:r w:rsidR="0018349B" w:rsidRPr="009D0841">
        <w:rPr>
          <w:rFonts w:ascii="Times New Roman" w:hAnsi="Times New Roman" w:cs="Times New Roman"/>
          <w:sz w:val="20"/>
          <w:szCs w:val="20"/>
          <w:lang w:val="en-US"/>
        </w:rPr>
        <w:t>Within a Health Care Facility. Can J Hosp Pharm 2002;55(1):56-62</w:t>
      </w:r>
    </w:p>
    <w:p w:rsidR="00E9170B" w:rsidRPr="009D0841" w:rsidRDefault="00E9170B" w:rsidP="00E9170B">
      <w:pPr>
        <w:pStyle w:val="Default"/>
        <w:spacing w:line="276" w:lineRule="auto"/>
        <w:ind w:left="360"/>
        <w:rPr>
          <w:rFonts w:ascii="Times New Roman" w:hAnsi="Times New Roman" w:cs="Times New Roman"/>
          <w:sz w:val="20"/>
          <w:szCs w:val="20"/>
          <w:lang w:val="en-US"/>
        </w:rPr>
      </w:pPr>
      <w:r w:rsidRPr="009D0841">
        <w:rPr>
          <w:rFonts w:ascii="Times New Roman" w:hAnsi="Times New Roman" w:cs="Times New Roman"/>
          <w:sz w:val="20"/>
          <w:szCs w:val="20"/>
          <w:lang w:val="en-US"/>
        </w:rPr>
        <w:t>100</w:t>
      </w:r>
      <w:r w:rsidR="0018349B" w:rsidRPr="009D0841">
        <w:rPr>
          <w:rFonts w:ascii="Times New Roman" w:hAnsi="Times New Roman" w:cs="Times New Roman"/>
          <w:sz w:val="20"/>
          <w:szCs w:val="20"/>
          <w:lang w:val="en-US"/>
        </w:rPr>
        <w:t>. To EK, Pearson GJ. Implementation and Evaluation of a Pharmacist-Assisted Warfarin</w:t>
      </w:r>
      <w:r w:rsidRPr="009D0841">
        <w:rPr>
          <w:rFonts w:ascii="Times New Roman" w:hAnsi="Times New Roman" w:cs="Times New Roman"/>
          <w:sz w:val="20"/>
          <w:szCs w:val="20"/>
          <w:lang w:val="en-US"/>
        </w:rPr>
        <w:t xml:space="preserve"> </w:t>
      </w:r>
      <w:r w:rsidR="0018349B" w:rsidRPr="009D0841">
        <w:rPr>
          <w:rFonts w:ascii="Times New Roman" w:hAnsi="Times New Roman" w:cs="Times New Roman"/>
          <w:sz w:val="20"/>
          <w:szCs w:val="20"/>
          <w:lang w:val="en-US"/>
        </w:rPr>
        <w:t>Dosing Program. Canadian Journal of Hospital Pharmacy 1997;50(4):169-175</w:t>
      </w:r>
    </w:p>
    <w:p w:rsidR="00E9170B" w:rsidRPr="009D0841" w:rsidRDefault="00E9170B" w:rsidP="00E9170B">
      <w:pPr>
        <w:pStyle w:val="Default"/>
        <w:spacing w:line="276" w:lineRule="auto"/>
        <w:ind w:left="360"/>
        <w:rPr>
          <w:rFonts w:ascii="Times New Roman" w:hAnsi="Times New Roman" w:cs="Times New Roman"/>
          <w:sz w:val="20"/>
          <w:szCs w:val="20"/>
          <w:lang w:val="en-US"/>
        </w:rPr>
      </w:pPr>
      <w:r w:rsidRPr="009D0841">
        <w:rPr>
          <w:rFonts w:ascii="Times New Roman" w:hAnsi="Times New Roman" w:cs="Times New Roman"/>
          <w:sz w:val="20"/>
          <w:szCs w:val="20"/>
          <w:lang w:val="en-US"/>
        </w:rPr>
        <w:t>101</w:t>
      </w:r>
      <w:r w:rsidR="0018349B" w:rsidRPr="009D0841">
        <w:rPr>
          <w:rFonts w:ascii="Times New Roman" w:hAnsi="Times New Roman" w:cs="Times New Roman"/>
          <w:sz w:val="20"/>
          <w:szCs w:val="20"/>
          <w:lang w:val="en-US"/>
        </w:rPr>
        <w:t>. Leong W. Outpatient DVT Treatment. Hospital Pharmacy Practice 1998;6(2):1-31</w:t>
      </w:r>
    </w:p>
    <w:p w:rsidR="00E9170B" w:rsidRPr="009D0841" w:rsidRDefault="00E9170B" w:rsidP="00E9170B">
      <w:pPr>
        <w:pStyle w:val="Default"/>
        <w:spacing w:line="276" w:lineRule="auto"/>
        <w:ind w:left="360"/>
        <w:rPr>
          <w:rFonts w:ascii="Times New Roman" w:hAnsi="Times New Roman" w:cs="Times New Roman"/>
          <w:sz w:val="20"/>
          <w:szCs w:val="20"/>
          <w:lang w:val="en-US"/>
        </w:rPr>
      </w:pPr>
      <w:r w:rsidRPr="009D0841">
        <w:rPr>
          <w:rFonts w:ascii="Times New Roman" w:hAnsi="Times New Roman" w:cs="Times New Roman"/>
          <w:sz w:val="20"/>
          <w:szCs w:val="20"/>
        </w:rPr>
        <w:t>102</w:t>
      </w:r>
      <w:r w:rsidR="0018349B" w:rsidRPr="009D0841">
        <w:rPr>
          <w:rFonts w:ascii="Times New Roman" w:hAnsi="Times New Roman" w:cs="Times New Roman"/>
          <w:sz w:val="20"/>
          <w:szCs w:val="20"/>
        </w:rPr>
        <w:t xml:space="preserve">. Chenella FC, Klotz TA, Gill MA, Kern JW et al. </w:t>
      </w:r>
      <w:r w:rsidR="0018349B" w:rsidRPr="009D0841">
        <w:rPr>
          <w:rFonts w:ascii="Times New Roman" w:hAnsi="Times New Roman" w:cs="Times New Roman"/>
          <w:sz w:val="20"/>
          <w:szCs w:val="20"/>
          <w:lang w:val="en-US"/>
        </w:rPr>
        <w:t>Comparison of Physician and Pharmacist</w:t>
      </w:r>
      <w:r w:rsidRPr="009D0841">
        <w:rPr>
          <w:rFonts w:ascii="Times New Roman" w:hAnsi="Times New Roman" w:cs="Times New Roman"/>
          <w:sz w:val="20"/>
          <w:szCs w:val="20"/>
          <w:lang w:val="en-US"/>
        </w:rPr>
        <w:t xml:space="preserve"> </w:t>
      </w:r>
      <w:r w:rsidR="0018349B" w:rsidRPr="009D0841">
        <w:rPr>
          <w:rFonts w:ascii="Times New Roman" w:hAnsi="Times New Roman" w:cs="Times New Roman"/>
          <w:sz w:val="20"/>
          <w:szCs w:val="20"/>
          <w:lang w:val="en-US"/>
        </w:rPr>
        <w:t>Management of Anticoagulant Therapy of Patients . American Journal of Health-system</w:t>
      </w:r>
      <w:r w:rsidRPr="009D0841">
        <w:rPr>
          <w:rFonts w:ascii="Times New Roman" w:hAnsi="Times New Roman" w:cs="Times New Roman"/>
          <w:sz w:val="20"/>
          <w:szCs w:val="20"/>
          <w:lang w:val="en-US"/>
        </w:rPr>
        <w:t xml:space="preserve"> </w:t>
      </w:r>
      <w:r w:rsidR="0018349B" w:rsidRPr="009D0841">
        <w:rPr>
          <w:rFonts w:ascii="Times New Roman" w:hAnsi="Times New Roman" w:cs="Times New Roman"/>
          <w:sz w:val="20"/>
          <w:szCs w:val="20"/>
          <w:lang w:val="en-US"/>
        </w:rPr>
        <w:t>Pharmacy 1993;40:1642-1645</w:t>
      </w:r>
    </w:p>
    <w:p w:rsidR="00E9170B" w:rsidRPr="009D0841" w:rsidRDefault="00E9170B" w:rsidP="00E9170B">
      <w:pPr>
        <w:pStyle w:val="Default"/>
        <w:spacing w:line="276" w:lineRule="auto"/>
        <w:ind w:left="360"/>
        <w:rPr>
          <w:rFonts w:ascii="Times New Roman" w:hAnsi="Times New Roman" w:cs="Times New Roman"/>
          <w:sz w:val="20"/>
          <w:szCs w:val="20"/>
          <w:lang w:val="en-US"/>
        </w:rPr>
      </w:pPr>
      <w:r w:rsidRPr="009D0841">
        <w:rPr>
          <w:rFonts w:ascii="Times New Roman" w:hAnsi="Times New Roman" w:cs="Times New Roman"/>
          <w:sz w:val="20"/>
          <w:szCs w:val="20"/>
          <w:lang w:val="en-US"/>
        </w:rPr>
        <w:t>103</w:t>
      </w:r>
      <w:r w:rsidR="0018349B" w:rsidRPr="009D0841">
        <w:rPr>
          <w:rFonts w:ascii="Times New Roman" w:hAnsi="Times New Roman" w:cs="Times New Roman"/>
          <w:sz w:val="20"/>
          <w:szCs w:val="20"/>
          <w:lang w:val="en-US"/>
        </w:rPr>
        <w:t>. Chiquette E, Amato MG, Bussey HI. Comparison of an anticoagulant clinic with usual</w:t>
      </w:r>
      <w:r w:rsidRPr="009D0841">
        <w:rPr>
          <w:rFonts w:ascii="Times New Roman" w:hAnsi="Times New Roman" w:cs="Times New Roman"/>
          <w:sz w:val="20"/>
          <w:szCs w:val="20"/>
          <w:lang w:val="en-US"/>
        </w:rPr>
        <w:t xml:space="preserve"> </w:t>
      </w:r>
      <w:r w:rsidR="0018349B" w:rsidRPr="009D0841">
        <w:rPr>
          <w:rFonts w:ascii="Times New Roman" w:hAnsi="Times New Roman" w:cs="Times New Roman"/>
          <w:sz w:val="20"/>
          <w:szCs w:val="20"/>
          <w:lang w:val="en-US"/>
        </w:rPr>
        <w:t>medical care. Archives of Internal Medicine 1998;158:1641-1647</w:t>
      </w:r>
    </w:p>
    <w:p w:rsidR="00E9170B" w:rsidRPr="009D0841" w:rsidRDefault="00E9170B" w:rsidP="00E9170B">
      <w:pPr>
        <w:pStyle w:val="Default"/>
        <w:spacing w:line="276" w:lineRule="auto"/>
        <w:ind w:left="360"/>
        <w:rPr>
          <w:rFonts w:ascii="Times New Roman" w:hAnsi="Times New Roman" w:cs="Times New Roman"/>
          <w:sz w:val="20"/>
          <w:szCs w:val="20"/>
          <w:lang w:val="en-US"/>
        </w:rPr>
      </w:pPr>
      <w:r w:rsidRPr="009D0841">
        <w:rPr>
          <w:rFonts w:ascii="Times New Roman" w:hAnsi="Times New Roman" w:cs="Times New Roman"/>
          <w:sz w:val="20"/>
          <w:szCs w:val="20"/>
          <w:lang w:val="en-US"/>
        </w:rPr>
        <w:t>104</w:t>
      </w:r>
      <w:r w:rsidR="0018349B" w:rsidRPr="009D0841">
        <w:rPr>
          <w:rFonts w:ascii="Times New Roman" w:hAnsi="Times New Roman" w:cs="Times New Roman"/>
          <w:sz w:val="20"/>
          <w:szCs w:val="20"/>
          <w:lang w:val="en-US"/>
        </w:rPr>
        <w:t>. Bungard TJ, Ackman ML, Ho G, Tsuyuki RT. Adequacy of anticoagulation in patients with</w:t>
      </w:r>
      <w:r w:rsidRPr="009D0841">
        <w:rPr>
          <w:rFonts w:ascii="Times New Roman" w:hAnsi="Times New Roman" w:cs="Times New Roman"/>
          <w:sz w:val="20"/>
          <w:szCs w:val="20"/>
          <w:lang w:val="en-US"/>
        </w:rPr>
        <w:t xml:space="preserve"> </w:t>
      </w:r>
      <w:r w:rsidR="0018349B" w:rsidRPr="009D0841">
        <w:rPr>
          <w:rFonts w:ascii="Times New Roman" w:hAnsi="Times New Roman" w:cs="Times New Roman"/>
          <w:sz w:val="20"/>
          <w:szCs w:val="20"/>
          <w:lang w:val="en-US"/>
        </w:rPr>
        <w:t>atrial fibrillation coming to a hospital. Pharmacotherapy 2000;20:1060-1065</w:t>
      </w:r>
    </w:p>
    <w:p w:rsidR="00E9170B" w:rsidRPr="009D0841" w:rsidRDefault="00E9170B" w:rsidP="00E9170B">
      <w:pPr>
        <w:pStyle w:val="Default"/>
        <w:spacing w:line="276" w:lineRule="auto"/>
        <w:ind w:left="360"/>
        <w:rPr>
          <w:rFonts w:ascii="Times New Roman" w:hAnsi="Times New Roman" w:cs="Times New Roman"/>
          <w:sz w:val="20"/>
          <w:szCs w:val="20"/>
          <w:lang w:val="en-US"/>
        </w:rPr>
      </w:pPr>
      <w:r w:rsidRPr="009D0841">
        <w:rPr>
          <w:rFonts w:ascii="Times New Roman" w:hAnsi="Times New Roman" w:cs="Times New Roman"/>
          <w:sz w:val="20"/>
          <w:szCs w:val="20"/>
          <w:lang w:val="en-US"/>
        </w:rPr>
        <w:lastRenderedPageBreak/>
        <w:t>105</w:t>
      </w:r>
      <w:r w:rsidR="0018349B" w:rsidRPr="009D0841">
        <w:rPr>
          <w:rFonts w:ascii="Times New Roman" w:hAnsi="Times New Roman" w:cs="Times New Roman"/>
          <w:sz w:val="20"/>
          <w:szCs w:val="20"/>
          <w:lang w:val="en-US"/>
        </w:rPr>
        <w:t>. Dager WE, Branch JM, King JH et al. Optimization of inpatient warfarin therapy: impact of</w:t>
      </w:r>
      <w:r w:rsidRPr="009D0841">
        <w:rPr>
          <w:rFonts w:ascii="Times New Roman" w:hAnsi="Times New Roman" w:cs="Times New Roman"/>
          <w:sz w:val="20"/>
          <w:szCs w:val="20"/>
          <w:lang w:val="en-US"/>
        </w:rPr>
        <w:t xml:space="preserve"> </w:t>
      </w:r>
      <w:r w:rsidR="0018349B" w:rsidRPr="009D0841">
        <w:rPr>
          <w:rFonts w:ascii="Times New Roman" w:hAnsi="Times New Roman" w:cs="Times New Roman"/>
          <w:sz w:val="20"/>
          <w:szCs w:val="20"/>
          <w:lang w:val="en-US"/>
        </w:rPr>
        <w:t>daily consultation by a pharmacist-managed anticoagulant service. Annals of</w:t>
      </w:r>
      <w:r w:rsidRPr="009D0841">
        <w:rPr>
          <w:rFonts w:ascii="Times New Roman" w:hAnsi="Times New Roman" w:cs="Times New Roman"/>
          <w:sz w:val="20"/>
          <w:szCs w:val="20"/>
          <w:lang w:val="en-US"/>
        </w:rPr>
        <w:t xml:space="preserve"> </w:t>
      </w:r>
      <w:r w:rsidR="0018349B" w:rsidRPr="009D0841">
        <w:rPr>
          <w:rFonts w:ascii="Times New Roman" w:hAnsi="Times New Roman" w:cs="Times New Roman"/>
          <w:sz w:val="20"/>
          <w:szCs w:val="20"/>
          <w:lang w:val="en-US"/>
        </w:rPr>
        <w:t>Pharmacotherapy 2000;34:567-572</w:t>
      </w:r>
    </w:p>
    <w:p w:rsidR="00E9170B" w:rsidRPr="009D0841" w:rsidRDefault="00E9170B" w:rsidP="00E9170B">
      <w:pPr>
        <w:pStyle w:val="Default"/>
        <w:spacing w:line="276" w:lineRule="auto"/>
        <w:ind w:left="360"/>
        <w:rPr>
          <w:rFonts w:ascii="Times New Roman" w:hAnsi="Times New Roman" w:cs="Times New Roman"/>
          <w:iCs/>
          <w:color w:val="auto"/>
          <w:sz w:val="20"/>
          <w:szCs w:val="20"/>
          <w:lang w:val="en-US"/>
        </w:rPr>
      </w:pPr>
      <w:r w:rsidRPr="009D0841">
        <w:rPr>
          <w:rFonts w:ascii="Times New Roman" w:hAnsi="Times New Roman" w:cs="Times New Roman"/>
          <w:sz w:val="20"/>
          <w:szCs w:val="20"/>
          <w:lang w:val="en-US"/>
        </w:rPr>
        <w:t>106</w:t>
      </w:r>
      <w:r w:rsidR="0018349B" w:rsidRPr="009D0841">
        <w:rPr>
          <w:rFonts w:ascii="Times New Roman" w:hAnsi="Times New Roman" w:cs="Times New Roman"/>
          <w:sz w:val="20"/>
          <w:szCs w:val="20"/>
          <w:lang w:val="en-US"/>
        </w:rPr>
        <w:t>. Institute for Safe Medication Practices. A Call to Action: Eliminate Handwritten</w:t>
      </w:r>
      <w:r w:rsidRPr="009D0841">
        <w:rPr>
          <w:rFonts w:ascii="Times New Roman" w:hAnsi="Times New Roman" w:cs="Times New Roman"/>
          <w:sz w:val="20"/>
          <w:szCs w:val="20"/>
          <w:lang w:val="en-US"/>
        </w:rPr>
        <w:t xml:space="preserve"> </w:t>
      </w:r>
      <w:r w:rsidR="0018349B" w:rsidRPr="009D0841">
        <w:rPr>
          <w:rFonts w:ascii="Times New Roman" w:hAnsi="Times New Roman" w:cs="Times New Roman"/>
          <w:sz w:val="20"/>
          <w:szCs w:val="20"/>
          <w:lang w:val="en-US"/>
        </w:rPr>
        <w:t xml:space="preserve">Prescriptions Within 3 Years! 2000 </w:t>
      </w:r>
      <w:hyperlink r:id="rId5" w:history="1">
        <w:r w:rsidRPr="009D0841">
          <w:rPr>
            <w:rStyle w:val="Hyperlink"/>
            <w:rFonts w:ascii="Times New Roman" w:hAnsi="Times New Roman" w:cs="Times New Roman"/>
            <w:iCs/>
            <w:color w:val="auto"/>
            <w:sz w:val="20"/>
            <w:szCs w:val="20"/>
            <w:u w:val="none"/>
            <w:lang w:val="en-US"/>
          </w:rPr>
          <w:t>http://www.ismp.org/MSAarticles/Whitepaper1.html</w:t>
        </w:r>
      </w:hyperlink>
      <w:r w:rsidRPr="009D0841">
        <w:rPr>
          <w:rFonts w:ascii="Times New Roman" w:hAnsi="Times New Roman" w:cs="Times New Roman"/>
          <w:iCs/>
          <w:color w:val="auto"/>
          <w:sz w:val="20"/>
          <w:szCs w:val="20"/>
          <w:lang w:val="en-US"/>
        </w:rPr>
        <w:t xml:space="preserve"> </w:t>
      </w:r>
      <w:r w:rsidR="0018349B" w:rsidRPr="009D0841">
        <w:rPr>
          <w:rFonts w:ascii="Times New Roman" w:hAnsi="Times New Roman" w:cs="Times New Roman"/>
          <w:iCs/>
          <w:color w:val="auto"/>
          <w:sz w:val="20"/>
          <w:szCs w:val="20"/>
          <w:lang w:val="en-US"/>
        </w:rPr>
        <w:t>(accessed Nov, 2003)</w:t>
      </w:r>
    </w:p>
    <w:p w:rsidR="009D0841" w:rsidRPr="009D0841" w:rsidRDefault="00E9170B" w:rsidP="009D0841">
      <w:pPr>
        <w:pStyle w:val="Default"/>
        <w:spacing w:line="276" w:lineRule="auto"/>
        <w:ind w:left="360"/>
        <w:rPr>
          <w:rFonts w:ascii="Times New Roman" w:hAnsi="Times New Roman" w:cs="Times New Roman"/>
          <w:iCs/>
          <w:color w:val="auto"/>
          <w:sz w:val="20"/>
          <w:szCs w:val="20"/>
          <w:lang w:val="en-US"/>
        </w:rPr>
      </w:pPr>
      <w:r w:rsidRPr="009D0841">
        <w:rPr>
          <w:rFonts w:ascii="Times New Roman" w:hAnsi="Times New Roman" w:cs="Times New Roman"/>
          <w:iCs/>
          <w:color w:val="auto"/>
          <w:sz w:val="20"/>
          <w:szCs w:val="20"/>
          <w:lang w:val="en-US"/>
        </w:rPr>
        <w:t>107</w:t>
      </w:r>
      <w:r w:rsidR="0018349B" w:rsidRPr="009D0841">
        <w:rPr>
          <w:rFonts w:ascii="Times New Roman" w:hAnsi="Times New Roman" w:cs="Times New Roman"/>
          <w:color w:val="auto"/>
          <w:sz w:val="20"/>
          <w:szCs w:val="20"/>
          <w:lang w:val="en-US"/>
        </w:rPr>
        <w:t>. 2001/2002 Annual Report: Hospital Pharmacy in Canada Survey</w:t>
      </w:r>
      <w:r w:rsidRPr="009D0841">
        <w:rPr>
          <w:rFonts w:ascii="Times New Roman" w:hAnsi="Times New Roman" w:cs="Times New Roman"/>
          <w:color w:val="auto"/>
          <w:sz w:val="20"/>
          <w:szCs w:val="20"/>
          <w:lang w:val="en-US"/>
        </w:rPr>
        <w:t xml:space="preserve"> </w:t>
      </w:r>
      <w:r w:rsidR="0018349B" w:rsidRPr="009D0841">
        <w:rPr>
          <w:rFonts w:ascii="Times New Roman" w:hAnsi="Times New Roman" w:cs="Times New Roman"/>
          <w:color w:val="auto"/>
          <w:sz w:val="20"/>
          <w:szCs w:val="20"/>
          <w:lang w:val="en-US"/>
        </w:rPr>
        <w:t xml:space="preserve">http://www.lillyhospitalsurvey.ca/hpc2/content/Rep2002.pdf </w:t>
      </w:r>
      <w:r w:rsidR="0018349B" w:rsidRPr="009D0841">
        <w:rPr>
          <w:rFonts w:ascii="Times New Roman" w:hAnsi="Times New Roman" w:cs="Times New Roman"/>
          <w:iCs/>
          <w:color w:val="auto"/>
          <w:sz w:val="20"/>
          <w:szCs w:val="20"/>
          <w:lang w:val="en-US"/>
        </w:rPr>
        <w:t>(accessed Nov, 2003)</w:t>
      </w:r>
    </w:p>
    <w:p w:rsidR="009D0841" w:rsidRPr="009D0841" w:rsidRDefault="009D0841" w:rsidP="009D0841">
      <w:pPr>
        <w:pStyle w:val="Default"/>
        <w:spacing w:line="276" w:lineRule="auto"/>
        <w:ind w:left="360"/>
        <w:rPr>
          <w:rFonts w:ascii="Times New Roman" w:hAnsi="Times New Roman" w:cs="Times New Roman"/>
          <w:iCs/>
          <w:color w:val="auto"/>
          <w:sz w:val="20"/>
          <w:szCs w:val="20"/>
          <w:lang w:val="en-US"/>
        </w:rPr>
      </w:pPr>
      <w:r w:rsidRPr="009D0841">
        <w:rPr>
          <w:rFonts w:ascii="Times New Roman" w:hAnsi="Times New Roman" w:cs="Times New Roman"/>
          <w:iCs/>
          <w:color w:val="auto"/>
          <w:sz w:val="20"/>
          <w:szCs w:val="20"/>
          <w:lang w:val="en-US"/>
        </w:rPr>
        <w:t>108.</w:t>
      </w:r>
      <w:r w:rsidRPr="009D0841">
        <w:rPr>
          <w:rFonts w:ascii="Times New Roman" w:hAnsi="Times New Roman" w:cs="Times New Roman"/>
          <w:sz w:val="20"/>
          <w:szCs w:val="20"/>
          <w:lang w:val="en-US"/>
        </w:rPr>
        <w:t xml:space="preserve">American Pharmacists Association. Oath of a Pharmacist. Available at: </w:t>
      </w:r>
      <w:r w:rsidRPr="009D0841">
        <w:rPr>
          <w:rFonts w:ascii="Times New Roman" w:hAnsi="Times New Roman" w:cs="Times New Roman"/>
          <w:i/>
          <w:iCs/>
          <w:sz w:val="20"/>
          <w:szCs w:val="20"/>
          <w:lang w:val="en-US"/>
        </w:rPr>
        <w:t>http://www.pharmacist.</w:t>
      </w:r>
    </w:p>
    <w:p w:rsidR="009D0841" w:rsidRPr="009D0841" w:rsidRDefault="009D0841" w:rsidP="009D0841">
      <w:pPr>
        <w:autoSpaceDE w:val="0"/>
        <w:autoSpaceDN w:val="0"/>
        <w:adjustRightInd w:val="0"/>
        <w:spacing w:after="0" w:line="240" w:lineRule="auto"/>
        <w:rPr>
          <w:sz w:val="20"/>
          <w:szCs w:val="20"/>
          <w:lang w:val="en-US"/>
        </w:rPr>
      </w:pPr>
      <w:r w:rsidRPr="009D0841">
        <w:rPr>
          <w:i/>
          <w:iCs/>
          <w:sz w:val="20"/>
          <w:szCs w:val="20"/>
          <w:lang w:val="en-US"/>
        </w:rPr>
        <w:t xml:space="preserve">   </w:t>
      </w:r>
      <w:r>
        <w:rPr>
          <w:i/>
          <w:iCs/>
          <w:sz w:val="20"/>
          <w:szCs w:val="20"/>
          <w:lang w:val="en-US"/>
        </w:rPr>
        <w:t xml:space="preserve"> </w:t>
      </w:r>
      <w:r w:rsidRPr="009D0841">
        <w:rPr>
          <w:i/>
          <w:iCs/>
          <w:sz w:val="20"/>
          <w:szCs w:val="20"/>
          <w:lang w:val="en-US"/>
        </w:rPr>
        <w:t xml:space="preserve">   com/oath-pharmacist. </w:t>
      </w:r>
      <w:r w:rsidRPr="009D0841">
        <w:rPr>
          <w:sz w:val="20"/>
          <w:szCs w:val="20"/>
          <w:lang w:val="en-US"/>
        </w:rPr>
        <w:t>Accessed February 3, 2016.</w:t>
      </w:r>
    </w:p>
    <w:p w:rsidR="009D0841" w:rsidRPr="009D0841" w:rsidRDefault="009D0841" w:rsidP="009D0841">
      <w:pPr>
        <w:autoSpaceDE w:val="0"/>
        <w:autoSpaceDN w:val="0"/>
        <w:adjustRightInd w:val="0"/>
        <w:spacing w:after="0" w:line="240" w:lineRule="auto"/>
        <w:rPr>
          <w:sz w:val="20"/>
          <w:szCs w:val="20"/>
          <w:lang w:val="en-US"/>
        </w:rPr>
      </w:pPr>
      <w:r w:rsidRPr="009D0841">
        <w:rPr>
          <w:sz w:val="20"/>
          <w:szCs w:val="20"/>
          <w:lang w:val="en-US"/>
        </w:rPr>
        <w:t xml:space="preserve">    </w:t>
      </w:r>
      <w:r>
        <w:rPr>
          <w:sz w:val="20"/>
          <w:szCs w:val="20"/>
          <w:lang w:val="en-US"/>
        </w:rPr>
        <w:t xml:space="preserve">  </w:t>
      </w:r>
      <w:r w:rsidRPr="009D0841">
        <w:rPr>
          <w:sz w:val="20"/>
          <w:szCs w:val="20"/>
          <w:lang w:val="en-US"/>
        </w:rPr>
        <w:t xml:space="preserve">  109.Ho MP, Bryson CL, Rumsfeld JS. Medication adherence: its importance in cardiovascular outcomes.         </w:t>
      </w:r>
    </w:p>
    <w:p w:rsidR="009D0841" w:rsidRPr="009D0841" w:rsidRDefault="009D0841" w:rsidP="009D0841">
      <w:pPr>
        <w:autoSpaceDE w:val="0"/>
        <w:autoSpaceDN w:val="0"/>
        <w:adjustRightInd w:val="0"/>
        <w:spacing w:after="0" w:line="240" w:lineRule="auto"/>
        <w:rPr>
          <w:sz w:val="20"/>
          <w:szCs w:val="20"/>
          <w:lang w:val="en-US"/>
        </w:rPr>
      </w:pPr>
      <w:r w:rsidRPr="009D0841">
        <w:rPr>
          <w:sz w:val="20"/>
          <w:szCs w:val="20"/>
          <w:lang w:val="en-US"/>
        </w:rPr>
        <w:t xml:space="preserve">      </w:t>
      </w:r>
      <w:r>
        <w:rPr>
          <w:sz w:val="20"/>
          <w:szCs w:val="20"/>
          <w:lang w:val="en-US"/>
        </w:rPr>
        <w:t xml:space="preserve"> </w:t>
      </w:r>
      <w:r w:rsidRPr="009D0841">
        <w:rPr>
          <w:i/>
          <w:iCs/>
          <w:sz w:val="20"/>
          <w:szCs w:val="20"/>
          <w:lang w:val="en-US"/>
        </w:rPr>
        <w:t>Circulation</w:t>
      </w:r>
      <w:r w:rsidRPr="009D0841">
        <w:rPr>
          <w:sz w:val="20"/>
          <w:szCs w:val="20"/>
          <w:lang w:val="en-US"/>
        </w:rPr>
        <w:t>. 2009;119:3028–35.</w:t>
      </w:r>
    </w:p>
    <w:p w:rsidR="009D0841" w:rsidRPr="009D0841" w:rsidRDefault="009D0841" w:rsidP="009D0841">
      <w:pPr>
        <w:autoSpaceDE w:val="0"/>
        <w:autoSpaceDN w:val="0"/>
        <w:adjustRightInd w:val="0"/>
        <w:spacing w:after="0" w:line="240" w:lineRule="auto"/>
        <w:rPr>
          <w:sz w:val="20"/>
          <w:szCs w:val="20"/>
          <w:lang w:val="en-US"/>
        </w:rPr>
      </w:pPr>
      <w:r w:rsidRPr="009D0841">
        <w:rPr>
          <w:sz w:val="20"/>
          <w:szCs w:val="20"/>
          <w:lang w:val="en-US"/>
        </w:rPr>
        <w:t xml:space="preserve">     </w:t>
      </w:r>
      <w:r>
        <w:rPr>
          <w:sz w:val="20"/>
          <w:szCs w:val="20"/>
          <w:lang w:val="en-US"/>
        </w:rPr>
        <w:t xml:space="preserve">  </w:t>
      </w:r>
      <w:r w:rsidRPr="009D0841">
        <w:rPr>
          <w:sz w:val="20"/>
          <w:szCs w:val="20"/>
          <w:lang w:val="en-US"/>
        </w:rPr>
        <w:t xml:space="preserve"> 110.American Pharmacists Association. APhA Policy: Pharmacists Role in Promoting Medication Adherence.  </w:t>
      </w:r>
    </w:p>
    <w:p w:rsidR="009D0841" w:rsidRPr="009D0841" w:rsidRDefault="009D0841" w:rsidP="009D0841">
      <w:pPr>
        <w:autoSpaceDE w:val="0"/>
        <w:autoSpaceDN w:val="0"/>
        <w:adjustRightInd w:val="0"/>
        <w:spacing w:after="0" w:line="240" w:lineRule="auto"/>
        <w:rPr>
          <w:i/>
          <w:iCs/>
          <w:sz w:val="20"/>
          <w:szCs w:val="20"/>
          <w:lang w:val="en-US"/>
        </w:rPr>
      </w:pPr>
      <w:r w:rsidRPr="009D0841">
        <w:rPr>
          <w:sz w:val="20"/>
          <w:szCs w:val="20"/>
          <w:lang w:val="en-US"/>
        </w:rPr>
        <w:t xml:space="preserve">     </w:t>
      </w:r>
      <w:r>
        <w:rPr>
          <w:sz w:val="20"/>
          <w:szCs w:val="20"/>
          <w:lang w:val="en-US"/>
        </w:rPr>
        <w:t xml:space="preserve">  </w:t>
      </w:r>
      <w:r w:rsidRPr="009D0841">
        <w:rPr>
          <w:sz w:val="20"/>
          <w:szCs w:val="20"/>
          <w:lang w:val="en-US"/>
        </w:rPr>
        <w:t xml:space="preserve"> 2015. Available at: </w:t>
      </w:r>
      <w:hyperlink r:id="rId6" w:history="1">
        <w:r w:rsidRPr="009D0841">
          <w:rPr>
            <w:rStyle w:val="Hyperlink"/>
            <w:iCs/>
            <w:color w:val="auto"/>
            <w:sz w:val="20"/>
            <w:szCs w:val="20"/>
            <w:u w:val="none"/>
            <w:lang w:val="en-US"/>
          </w:rPr>
          <w:t>http://www.pharmacist.com/policy/pharmacists-rolepromoting-</w:t>
        </w:r>
      </w:hyperlink>
      <w:r w:rsidRPr="009D0841">
        <w:rPr>
          <w:sz w:val="20"/>
          <w:szCs w:val="20"/>
          <w:lang w:val="en-US"/>
        </w:rPr>
        <w:t xml:space="preserve"> </w:t>
      </w:r>
      <w:r w:rsidRPr="009D0841">
        <w:rPr>
          <w:i/>
          <w:iCs/>
          <w:sz w:val="20"/>
          <w:szCs w:val="20"/>
          <w:lang w:val="en-US"/>
        </w:rPr>
        <w:t xml:space="preserve">medication-adherence.  </w:t>
      </w:r>
    </w:p>
    <w:p w:rsidR="009D0841" w:rsidRPr="009D0841" w:rsidRDefault="009D0841" w:rsidP="009D0841">
      <w:pPr>
        <w:autoSpaceDE w:val="0"/>
        <w:autoSpaceDN w:val="0"/>
        <w:adjustRightInd w:val="0"/>
        <w:spacing w:after="0" w:line="240" w:lineRule="auto"/>
        <w:rPr>
          <w:sz w:val="20"/>
          <w:szCs w:val="20"/>
          <w:lang w:val="en-US"/>
        </w:rPr>
      </w:pPr>
      <w:r w:rsidRPr="009D0841">
        <w:rPr>
          <w:i/>
          <w:iCs/>
          <w:sz w:val="20"/>
          <w:szCs w:val="20"/>
          <w:lang w:val="en-US"/>
        </w:rPr>
        <w:t xml:space="preserve">    </w:t>
      </w:r>
      <w:r>
        <w:rPr>
          <w:i/>
          <w:iCs/>
          <w:sz w:val="20"/>
          <w:szCs w:val="20"/>
          <w:lang w:val="en-US"/>
        </w:rPr>
        <w:t xml:space="preserve"> </w:t>
      </w:r>
      <w:r w:rsidRPr="009D0841">
        <w:rPr>
          <w:i/>
          <w:iCs/>
          <w:sz w:val="20"/>
          <w:szCs w:val="20"/>
          <w:lang w:val="en-US"/>
        </w:rPr>
        <w:t xml:space="preserve">  </w:t>
      </w:r>
      <w:r w:rsidRPr="009D0841">
        <w:rPr>
          <w:sz w:val="20"/>
          <w:szCs w:val="20"/>
          <w:lang w:val="en-US"/>
        </w:rPr>
        <w:t>Accessed February 3, 2016.</w:t>
      </w:r>
    </w:p>
    <w:sectPr w:rsidR="009D0841" w:rsidRPr="009D0841" w:rsidSect="00972B4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6A75C6"/>
    <w:multiLevelType w:val="hybridMultilevel"/>
    <w:tmpl w:val="02A6D7D2"/>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 w15:restartNumberingAfterBreak="0">
    <w:nsid w:val="7515704B"/>
    <w:multiLevelType w:val="hybridMultilevel"/>
    <w:tmpl w:val="8528BA7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49B"/>
    <w:rsid w:val="00094620"/>
    <w:rsid w:val="00173EBE"/>
    <w:rsid w:val="0018349B"/>
    <w:rsid w:val="0019699F"/>
    <w:rsid w:val="003C14E1"/>
    <w:rsid w:val="004854A9"/>
    <w:rsid w:val="005D79C6"/>
    <w:rsid w:val="00604CA4"/>
    <w:rsid w:val="007C2BE0"/>
    <w:rsid w:val="00972B49"/>
    <w:rsid w:val="009D0841"/>
    <w:rsid w:val="00C5176C"/>
    <w:rsid w:val="00CC24F6"/>
    <w:rsid w:val="00D2356A"/>
    <w:rsid w:val="00E917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2502A8-07CB-49CA-B0E2-E0D86C5EE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72B4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8349B"/>
    <w:pPr>
      <w:ind w:left="720"/>
      <w:contextualSpacing/>
    </w:pPr>
  </w:style>
  <w:style w:type="paragraph" w:customStyle="1" w:styleId="Default">
    <w:name w:val="Default"/>
    <w:rsid w:val="003C14E1"/>
    <w:pPr>
      <w:autoSpaceDE w:val="0"/>
      <w:autoSpaceDN w:val="0"/>
      <w:adjustRightInd w:val="0"/>
      <w:spacing w:after="0" w:line="240" w:lineRule="auto"/>
    </w:pPr>
    <w:rPr>
      <w:rFonts w:ascii="Calibri" w:hAnsi="Calibri" w:cs="Calibri"/>
      <w:color w:val="000000"/>
    </w:rPr>
  </w:style>
  <w:style w:type="character" w:styleId="Hyperlink">
    <w:name w:val="Hyperlink"/>
    <w:basedOn w:val="Absatz-Standardschriftart"/>
    <w:uiPriority w:val="99"/>
    <w:unhideWhenUsed/>
    <w:rsid w:val="00E9170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harmacist.com/policy/pharmacists-rolepromoting-" TargetMode="External"/><Relationship Id="rId5" Type="http://schemas.openxmlformats.org/officeDocument/2006/relationships/hyperlink" Target="http://www.ismp.org/MSAarticles/Whitepaper1.html"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2610</Words>
  <Characters>16448</Characters>
  <Application>Microsoft Office Word</Application>
  <DocSecurity>0</DocSecurity>
  <Lines>137</Lines>
  <Paragraphs>38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19020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Computer</dc:creator>
  <cp:lastModifiedBy>Themeli, Alba</cp:lastModifiedBy>
  <cp:revision>2</cp:revision>
  <dcterms:created xsi:type="dcterms:W3CDTF">2024-02-23T07:47:00Z</dcterms:created>
  <dcterms:modified xsi:type="dcterms:W3CDTF">2024-02-23T07:47:00Z</dcterms:modified>
</cp:coreProperties>
</file>