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65AD" w14:textId="77777777" w:rsidR="008E1599" w:rsidRDefault="008E1599">
      <w:pPr>
        <w:rPr>
          <w:b/>
          <w:sz w:val="28"/>
          <w:szCs w:val="28"/>
          <w:lang w:val="en-GB"/>
        </w:rPr>
      </w:pPr>
      <w:bookmarkStart w:id="0" w:name="_GoBack"/>
      <w:bookmarkEnd w:id="0"/>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enabsatz"/>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enabsatz"/>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enabsatz"/>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enabsatz"/>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enabsatz"/>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enabsatz"/>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enabsatz"/>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enabsatz"/>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enabsatz"/>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enabsatz"/>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enabsatz"/>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enabsatz"/>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enabsatz"/>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enabsatz"/>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enabsatz"/>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enabsatz"/>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enabsatz"/>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enabsatz"/>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enabsatz"/>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enabsatz"/>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enabsatz"/>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enabsatz"/>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enabsatz"/>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enabsatz"/>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enabsatz"/>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enabsatz"/>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enabsatz"/>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enabsatz"/>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enabsatz"/>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enabsatz"/>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enabsatz"/>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enabsatz"/>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enabsatz"/>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enabsatz"/>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enabsatz"/>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enabsatz"/>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enabsatz"/>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enabsatz"/>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enabsatz"/>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enabsatz"/>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enabsatz"/>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enabsatz"/>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enabsatz"/>
        <w:numPr>
          <w:ilvl w:val="0"/>
          <w:numId w:val="25"/>
        </w:numPr>
        <w:rPr>
          <w:lang w:val="en-GB"/>
        </w:rPr>
      </w:pPr>
      <w:r w:rsidRPr="00F30803">
        <w:rPr>
          <w:lang w:val="en-GB"/>
        </w:rPr>
        <w:lastRenderedPageBreak/>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enabsatz"/>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enabsatz"/>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enabsatz"/>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enabsatz"/>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enabsatz"/>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enabsatz"/>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enabsatz"/>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enabsatz"/>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enabsatz"/>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enabsatz"/>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enabsatz"/>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enabsatz"/>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enabsatz"/>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enabsatz"/>
        <w:numPr>
          <w:ilvl w:val="0"/>
          <w:numId w:val="25"/>
        </w:numPr>
        <w:rPr>
          <w:lang w:val="en-GB"/>
        </w:rPr>
      </w:pPr>
      <w:r>
        <w:rPr>
          <w:lang w:val="en-GB"/>
        </w:rPr>
        <w:lastRenderedPageBreak/>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enabsatz"/>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enabsatz"/>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enabsatz"/>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enabsatz"/>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enabsatz"/>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enabsatz"/>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enabsatz"/>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enabsatz"/>
        <w:rPr>
          <w:lang w:val="en-GB"/>
        </w:rPr>
      </w:pPr>
      <w:r w:rsidRPr="00955EE0">
        <w:rPr>
          <w:lang w:val="en-GB"/>
        </w:rPr>
        <w:t>Cardiovasc Dis 2015;108:530–53</w:t>
      </w:r>
    </w:p>
    <w:p w14:paraId="46CC11ED" w14:textId="77777777" w:rsidR="004762BD" w:rsidRPr="00955EE0" w:rsidRDefault="00D447CE" w:rsidP="00955EE0">
      <w:pPr>
        <w:pStyle w:val="Listenabsatz"/>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enabsatz"/>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enabsatz"/>
        <w:rPr>
          <w:lang w:val="en-GB"/>
        </w:rPr>
      </w:pPr>
      <w:r w:rsidRPr="00955EE0">
        <w:rPr>
          <w:lang w:val="en-GB"/>
        </w:rPr>
        <w:t>Echocardiogr 2014;27:1200–1207.</w:t>
      </w:r>
    </w:p>
    <w:p w14:paraId="44ECB87E" w14:textId="77777777" w:rsidR="004762BD" w:rsidRPr="00955EE0" w:rsidRDefault="00D447CE" w:rsidP="00955EE0">
      <w:pPr>
        <w:pStyle w:val="Listenabsatz"/>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enabsatz"/>
        <w:rPr>
          <w:lang w:val="en-GB"/>
        </w:rPr>
      </w:pPr>
      <w:r w:rsidRPr="00955EE0">
        <w:rPr>
          <w:lang w:val="en-GB"/>
        </w:rPr>
        <w:t>Stroke Study. Stroke 1996;27:1765–1769.</w:t>
      </w:r>
    </w:p>
    <w:p w14:paraId="54A34565" w14:textId="77777777" w:rsidR="002067B8" w:rsidRPr="00955EE0" w:rsidRDefault="006F5450" w:rsidP="00955EE0">
      <w:pPr>
        <w:pStyle w:val="Listenabsatz"/>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enabsatz"/>
        <w:rPr>
          <w:lang w:val="en-GB"/>
        </w:rPr>
      </w:pPr>
      <w:r w:rsidRPr="00955EE0">
        <w:rPr>
          <w:lang w:val="en-GB"/>
        </w:rPr>
        <w:t>population-based study. Clin Epidemiol 2009;1:55–65.</w:t>
      </w:r>
    </w:p>
    <w:p w14:paraId="18F1FCBF" w14:textId="77777777" w:rsidR="002067B8" w:rsidRPr="00955EE0" w:rsidRDefault="00D447CE" w:rsidP="00955EE0">
      <w:pPr>
        <w:pStyle w:val="Listenabsatz"/>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enabsatz"/>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enabsatz"/>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enabsatz"/>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enabsatz"/>
        <w:rPr>
          <w:lang w:val="en-GB"/>
        </w:rPr>
      </w:pPr>
      <w:r w:rsidRPr="00955EE0">
        <w:rPr>
          <w:lang w:val="en-GB"/>
        </w:rPr>
        <w:t>146:857–867.</w:t>
      </w:r>
    </w:p>
    <w:p w14:paraId="6CBF930E" w14:textId="77777777" w:rsidR="002067B8" w:rsidRPr="00955EE0" w:rsidRDefault="005F517F" w:rsidP="00955EE0">
      <w:pPr>
        <w:pStyle w:val="Listenabsatz"/>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enabsatz"/>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enabsatz"/>
        <w:rPr>
          <w:lang w:val="en-GB"/>
        </w:rPr>
      </w:pPr>
      <w:r w:rsidRPr="00955EE0">
        <w:rPr>
          <w:lang w:val="en-GB"/>
        </w:rPr>
        <w:lastRenderedPageBreak/>
        <w:t>of the efficacy and safety of new oral anticoagulants with warfarin in patients</w:t>
      </w:r>
    </w:p>
    <w:p w14:paraId="6C8F4FD7" w14:textId="77777777" w:rsidR="005F517F" w:rsidRPr="00955EE0" w:rsidRDefault="005F517F" w:rsidP="00955EE0">
      <w:pPr>
        <w:pStyle w:val="Listenabsatz"/>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enabsatz"/>
        <w:rPr>
          <w:lang w:val="en-GB"/>
        </w:rPr>
      </w:pPr>
      <w:r w:rsidRPr="00955EE0">
        <w:rPr>
          <w:lang w:val="en-GB"/>
        </w:rPr>
        <w:t>955–962.</w:t>
      </w:r>
    </w:p>
    <w:p w14:paraId="2B7A49C7" w14:textId="77777777" w:rsidR="005F517F" w:rsidRPr="00955EE0" w:rsidRDefault="005F517F" w:rsidP="00955EE0">
      <w:pPr>
        <w:pStyle w:val="Listenabsatz"/>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enabsatz"/>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enabsatz"/>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enabsatz"/>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enabsatz"/>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enabsatz"/>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enabsatz"/>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enabsatz"/>
        <w:rPr>
          <w:lang w:val="en-GB"/>
        </w:rPr>
      </w:pPr>
      <w:r w:rsidRPr="00955EE0">
        <w:rPr>
          <w:lang w:val="en-GB"/>
        </w:rPr>
        <w:t>Fibrillation (PREFER in AF). Europace 2014;16:6–14.</w:t>
      </w:r>
    </w:p>
    <w:p w14:paraId="13F3A77E" w14:textId="77777777" w:rsidR="005F517F" w:rsidRPr="00955EE0" w:rsidRDefault="005F517F" w:rsidP="00955EE0">
      <w:pPr>
        <w:pStyle w:val="Listenabsatz"/>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enabsatz"/>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enabsatz"/>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enabsatz"/>
        <w:rPr>
          <w:lang w:val="en-GB"/>
        </w:rPr>
      </w:pPr>
      <w:r w:rsidRPr="00955EE0">
        <w:rPr>
          <w:lang w:val="en-GB"/>
        </w:rPr>
        <w:t>and initial management. Europace 2009;11:423–434.</w:t>
      </w:r>
    </w:p>
    <w:p w14:paraId="6C36C6A3" w14:textId="77777777" w:rsidR="005F517F" w:rsidRPr="00955EE0" w:rsidRDefault="005F517F" w:rsidP="00955EE0">
      <w:pPr>
        <w:pStyle w:val="Listenabsatz"/>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enabsatz"/>
        <w:rPr>
          <w:lang w:val="en-GB"/>
        </w:rPr>
      </w:pPr>
      <w:r w:rsidRPr="00955EE0">
        <w:rPr>
          <w:lang w:val="en-GB"/>
        </w:rPr>
        <w:t>Wegscheider K, Treszl A, Meinertz T, Oeff M, Ravens U, Breithardt G,</w:t>
      </w:r>
    </w:p>
    <w:p w14:paraId="2407EC98" w14:textId="77777777" w:rsidR="005F517F" w:rsidRPr="00955EE0" w:rsidRDefault="005F517F" w:rsidP="00955EE0">
      <w:pPr>
        <w:pStyle w:val="Listenabsatz"/>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enabsatz"/>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enabsatz"/>
        <w:rPr>
          <w:lang w:val="en-GB"/>
        </w:rPr>
      </w:pPr>
      <w:r w:rsidRPr="005F517F">
        <w:rPr>
          <w:lang w:val="en-GB"/>
        </w:rPr>
        <w:t>2011;105:1010–1023.</w:t>
      </w:r>
    </w:p>
    <w:p w14:paraId="3BA2010E" w14:textId="77777777" w:rsidR="005F517F" w:rsidRPr="0077559E" w:rsidRDefault="005F517F" w:rsidP="00955EE0">
      <w:pPr>
        <w:pStyle w:val="Listenabsatz"/>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enabsatz"/>
        <w:rPr>
          <w:lang w:val="en-GB"/>
        </w:rPr>
      </w:pPr>
      <w:r w:rsidRPr="005F517F">
        <w:rPr>
          <w:lang w:val="en-GB"/>
        </w:rPr>
        <w:t>Roura M, Diaz MG, Souto JC, Alonso R, Oliver S, Ruiz R, Coll-Vinent B,</w:t>
      </w:r>
    </w:p>
    <w:p w14:paraId="54997BD6" w14:textId="77777777" w:rsidR="005F517F" w:rsidRPr="005F517F" w:rsidRDefault="005F517F" w:rsidP="00DE0DFD">
      <w:pPr>
        <w:pStyle w:val="Listenabsatz"/>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enabsatz"/>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enabsatz"/>
        <w:rPr>
          <w:lang w:val="en-GB"/>
        </w:rPr>
      </w:pPr>
      <w:r w:rsidRPr="005F517F">
        <w:rPr>
          <w:lang w:val="en-GB"/>
        </w:rPr>
        <w:t>a two-phase study. BMC Health Serv Res 2008;8:221.</w:t>
      </w:r>
    </w:p>
    <w:p w14:paraId="39F10B16" w14:textId="77777777" w:rsidR="005F517F" w:rsidRPr="0077559E" w:rsidRDefault="005F517F" w:rsidP="00DE0DFD">
      <w:pPr>
        <w:pStyle w:val="Listenabsatz"/>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enabsatz"/>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enabsatz"/>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enabsatz"/>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enabsatz"/>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enabsatz"/>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enabsatz"/>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enabsatz"/>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enabsatz"/>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enabsatz"/>
        <w:rPr>
          <w:lang w:val="en-GB"/>
        </w:rPr>
      </w:pPr>
      <w:r w:rsidRPr="00936F41">
        <w:rPr>
          <w:lang w:val="en-GB"/>
        </w:rPr>
        <w:t>590–592.</w:t>
      </w:r>
    </w:p>
    <w:p w14:paraId="6172EB12" w14:textId="77777777" w:rsidR="00936F41" w:rsidRDefault="00936F41" w:rsidP="00DE0DFD">
      <w:pPr>
        <w:pStyle w:val="Listenabsatz"/>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enabsatz"/>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enabsatz"/>
        <w:rPr>
          <w:lang w:val="en-GB"/>
        </w:rPr>
      </w:pPr>
      <w:r w:rsidRPr="00936F41">
        <w:rPr>
          <w:lang w:val="en-GB"/>
        </w:rPr>
        <w:lastRenderedPageBreak/>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enabsatz"/>
        <w:rPr>
          <w:lang w:val="en-GB"/>
        </w:rPr>
      </w:pPr>
    </w:p>
    <w:p w14:paraId="57AC31BB" w14:textId="77777777" w:rsidR="00936F41" w:rsidRPr="0077559E" w:rsidRDefault="00936F41" w:rsidP="00DE0DFD">
      <w:pPr>
        <w:pStyle w:val="Listenabsatz"/>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enabsatz"/>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enabsatz"/>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enabsatz"/>
        <w:rPr>
          <w:lang w:val="en-GB"/>
        </w:rPr>
      </w:pPr>
      <w:r w:rsidRPr="00936F41">
        <w:rPr>
          <w:lang w:val="en-GB"/>
        </w:rPr>
        <w:t>Thromb Haemost 2014;111:833–841.</w:t>
      </w:r>
    </w:p>
    <w:p w14:paraId="3A3B46A4" w14:textId="77777777" w:rsidR="00936F41" w:rsidRPr="0077559E" w:rsidRDefault="00936F41" w:rsidP="00DE0DFD">
      <w:pPr>
        <w:pStyle w:val="Listenabsatz"/>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enabsatz"/>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enabsatz"/>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enabsatz"/>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enabsatz"/>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enabsatz"/>
        <w:rPr>
          <w:lang w:val="en-GB"/>
        </w:rPr>
      </w:pPr>
      <w:r>
        <w:rPr>
          <w:lang w:val="en-GB"/>
        </w:rPr>
        <w:t>1</w:t>
      </w:r>
      <w:r w:rsidR="00936F41" w:rsidRPr="00936F41">
        <w:rPr>
          <w:lang w:val="en-GB"/>
        </w:rPr>
        <w:t>67:601–609.e1.</w:t>
      </w:r>
    </w:p>
    <w:p w14:paraId="794400AA" w14:textId="77777777" w:rsidR="00936F41" w:rsidRPr="0077559E" w:rsidRDefault="00936F41" w:rsidP="00DE0DFD">
      <w:pPr>
        <w:pStyle w:val="Listenabsatz"/>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enabsatz"/>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enabsatz"/>
        <w:rPr>
          <w:lang w:val="en-GB"/>
        </w:rPr>
      </w:pPr>
      <w:r w:rsidRPr="005F25C8">
        <w:rPr>
          <w:lang w:val="en-GB"/>
        </w:rPr>
        <w:t>Circ Cardiovasc Qual Outcomes 2010;3:624–631.</w:t>
      </w:r>
    </w:p>
    <w:p w14:paraId="0D7CC53F" w14:textId="77777777" w:rsidR="00936F41" w:rsidRPr="0077559E" w:rsidRDefault="006F5450" w:rsidP="00DE0DFD">
      <w:pPr>
        <w:pStyle w:val="Listenabsatz"/>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enabsatz"/>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enabsatz"/>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enabsatz"/>
        <w:rPr>
          <w:lang w:val="en-GB"/>
        </w:rPr>
      </w:pPr>
      <w:r w:rsidRPr="005F25C8">
        <w:rPr>
          <w:lang w:val="en-GB"/>
        </w:rPr>
        <w:t>Circ Cardiovasc Qual Outcomes 2013;6:567–574.</w:t>
      </w:r>
    </w:p>
    <w:p w14:paraId="39287CFB" w14:textId="77777777" w:rsidR="00936F41" w:rsidRPr="0077559E" w:rsidRDefault="00936F41" w:rsidP="00DE0DFD">
      <w:pPr>
        <w:pStyle w:val="Listenabsatz"/>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enabsatz"/>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enabsatz"/>
        <w:rPr>
          <w:lang w:val="en-GB"/>
        </w:rPr>
      </w:pPr>
      <w:r w:rsidRPr="00936F41">
        <w:rPr>
          <w:lang w:val="en-GB"/>
        </w:rPr>
        <w:t>773–778.</w:t>
      </w:r>
    </w:p>
    <w:p w14:paraId="6E7494D3" w14:textId="77777777" w:rsidR="00936F41" w:rsidRPr="0077559E" w:rsidRDefault="00936F41" w:rsidP="00DE0DFD">
      <w:pPr>
        <w:pStyle w:val="Listenabsatz"/>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enabsatz"/>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enabsatz"/>
        <w:rPr>
          <w:lang w:val="en-GB"/>
        </w:rPr>
      </w:pPr>
      <w:r w:rsidRPr="00936F41">
        <w:rPr>
          <w:lang w:val="en-GB"/>
        </w:rPr>
        <w:t>1999;159:677–685.</w:t>
      </w:r>
    </w:p>
    <w:p w14:paraId="0C65F004" w14:textId="77777777" w:rsidR="00936F41" w:rsidRPr="0077559E" w:rsidRDefault="00DE0DFD" w:rsidP="00DE0DFD">
      <w:pPr>
        <w:pStyle w:val="Listenabsatz"/>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enabsatz"/>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enabsatz"/>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enabsatz"/>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enabsatz"/>
        <w:rPr>
          <w:lang w:val="en-GB"/>
        </w:rPr>
      </w:pPr>
      <w:r w:rsidRPr="00936F41">
        <w:rPr>
          <w:lang w:val="en-GB"/>
        </w:rPr>
        <w:t>randomised controlled trial. Lancet 2007;370:493–503.</w:t>
      </w:r>
    </w:p>
    <w:p w14:paraId="150E28B2" w14:textId="77777777" w:rsidR="00936F41" w:rsidRPr="0077559E" w:rsidRDefault="00936F41" w:rsidP="00DE0DFD">
      <w:pPr>
        <w:pStyle w:val="Listenabsatz"/>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enabsatz"/>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enabsatz"/>
        <w:rPr>
          <w:lang w:val="en-GB"/>
        </w:rPr>
      </w:pPr>
      <w:r w:rsidRPr="00936F41">
        <w:rPr>
          <w:lang w:val="en-GB"/>
        </w:rPr>
        <w:t>and Investigators. Apixaban versus aspirin in patients with atrial fibrillation</w:t>
      </w:r>
    </w:p>
    <w:p w14:paraId="4F9479FF" w14:textId="77777777" w:rsidR="00E66FB1" w:rsidRDefault="00E66FB1" w:rsidP="00DE0DFD">
      <w:pPr>
        <w:pStyle w:val="Listenabsatz"/>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enabsatz"/>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enabsatz"/>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enabsatz"/>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enabsatz"/>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enabsatz"/>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enabsatz"/>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enabsatz"/>
        <w:rPr>
          <w:lang w:val="en-GB"/>
        </w:rPr>
      </w:pPr>
      <w:r w:rsidRPr="001F4EEF">
        <w:rPr>
          <w:lang w:val="en-GB"/>
        </w:rPr>
        <w:t>nationwide cohort study. Thromb Haemost 2012;107:1172–1179.</w:t>
      </w:r>
    </w:p>
    <w:p w14:paraId="0C0A7615" w14:textId="77777777" w:rsidR="004D4071" w:rsidRDefault="004D4071" w:rsidP="004D4071">
      <w:pPr>
        <w:pStyle w:val="Listenabsatz"/>
        <w:rPr>
          <w:lang w:val="en-GB"/>
        </w:rPr>
      </w:pPr>
    </w:p>
    <w:p w14:paraId="0860BB74" w14:textId="77777777" w:rsidR="004D4071" w:rsidRPr="00D6250A" w:rsidRDefault="004D4071" w:rsidP="004D4071">
      <w:pPr>
        <w:pStyle w:val="Listenabsatz"/>
        <w:rPr>
          <w:lang w:val="en-GB"/>
        </w:rPr>
      </w:pPr>
    </w:p>
    <w:p w14:paraId="020410FC" w14:textId="77777777" w:rsidR="00CB549E" w:rsidRDefault="001F4EEF" w:rsidP="004D4071">
      <w:pPr>
        <w:pStyle w:val="Listenabsatz"/>
        <w:numPr>
          <w:ilvl w:val="0"/>
          <w:numId w:val="25"/>
        </w:numPr>
        <w:rPr>
          <w:lang w:val="en-GB"/>
        </w:rPr>
      </w:pPr>
      <w:r w:rsidRPr="009A702D">
        <w:rPr>
          <w:lang w:val="en-GB"/>
        </w:rPr>
        <w:lastRenderedPageBreak/>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enabsatz"/>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enabsatz"/>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enabsatz"/>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enabsatz"/>
        <w:rPr>
          <w:lang w:val="en-GB"/>
        </w:rPr>
      </w:pPr>
      <w:r w:rsidRPr="009A702D">
        <w:rPr>
          <w:lang w:val="en-GB"/>
        </w:rPr>
        <w:t>2010;123:484–488.</w:t>
      </w:r>
    </w:p>
    <w:p w14:paraId="467FA909" w14:textId="77777777" w:rsidR="00200FC9" w:rsidRDefault="002E61A5" w:rsidP="004D4071">
      <w:pPr>
        <w:pStyle w:val="Listenabsatz"/>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enabsatz"/>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enabsatz"/>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enabsatz"/>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enabsatz"/>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enabsatz"/>
        <w:rPr>
          <w:lang w:val="en-GB"/>
        </w:rPr>
      </w:pPr>
      <w:r w:rsidRPr="002E61A5">
        <w:rPr>
          <w:lang w:val="en-GB"/>
        </w:rPr>
        <w:t>Association. Eur Heart J 2012;33:2719–2747.</w:t>
      </w:r>
    </w:p>
    <w:p w14:paraId="759C2830" w14:textId="77777777" w:rsidR="00200FC9" w:rsidRDefault="003D5B58" w:rsidP="004D4071">
      <w:pPr>
        <w:pStyle w:val="Listenabsatz"/>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enabsatz"/>
        <w:rPr>
          <w:lang w:val="en-GB"/>
        </w:rPr>
      </w:pPr>
      <w:r w:rsidRPr="003D5B58">
        <w:rPr>
          <w:lang w:val="en-GB"/>
        </w:rPr>
        <w:t>management of thromboembolism. Annu Rev Med 2011;62:41–57.</w:t>
      </w:r>
    </w:p>
    <w:p w14:paraId="6829EE3D" w14:textId="77777777" w:rsidR="003D5B58" w:rsidRPr="004D4071" w:rsidRDefault="003D5B58" w:rsidP="004D4071">
      <w:pPr>
        <w:pStyle w:val="Listenabsatz"/>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772D96" w:rsidP="004D4071">
      <w:pPr>
        <w:pStyle w:val="Listenabsatz"/>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772D96" w:rsidP="004D4071">
      <w:pPr>
        <w:pStyle w:val="Listenabsatz"/>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enabsatz"/>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enabsatz"/>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enabsatz"/>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enabsatz"/>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enabsatz"/>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enabsatz"/>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enabsatz"/>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enabsatz"/>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enabsatz"/>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enabsatz"/>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enabsatz"/>
        <w:rPr>
          <w:lang w:val="en-GB"/>
        </w:rPr>
      </w:pPr>
      <w:r w:rsidRPr="00F82E3F">
        <w:rPr>
          <w:lang w:val="en-GB"/>
        </w:rPr>
        <w:lastRenderedPageBreak/>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enabsatz"/>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enabsatz"/>
        <w:rPr>
          <w:lang w:val="en-GB"/>
        </w:rPr>
      </w:pPr>
      <w:r w:rsidRPr="00F82E3F">
        <w:rPr>
          <w:lang w:val="en-GB"/>
        </w:rPr>
        <w:t>Ziadeh NS, Turpie AGG; XANTUS Investigators. XANTUS-EL: a real-world,</w:t>
      </w:r>
    </w:p>
    <w:p w14:paraId="246A1BA7" w14:textId="77777777" w:rsidR="00F82E3F" w:rsidRPr="00F82E3F" w:rsidRDefault="00F82E3F" w:rsidP="004D4071">
      <w:pPr>
        <w:pStyle w:val="Listenabsatz"/>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enabsatz"/>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enabsatz"/>
        <w:rPr>
          <w:lang w:val="en-GB"/>
        </w:rPr>
      </w:pPr>
      <w:r w:rsidRPr="00F82E3F">
        <w:rPr>
          <w:lang w:val="en-GB"/>
        </w:rPr>
        <w:t>America. Egypt Heart J 2018;70:307313.</w:t>
      </w:r>
    </w:p>
    <w:p w14:paraId="57467931" w14:textId="77777777" w:rsidR="00F82E3F" w:rsidRPr="00F82E3F" w:rsidRDefault="00F82E3F" w:rsidP="004D4071">
      <w:pPr>
        <w:pStyle w:val="Listenabsatz"/>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enabsatz"/>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enabsatz"/>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enabsatz"/>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enabsatz"/>
        <w:rPr>
          <w:lang w:val="en-GB"/>
        </w:rPr>
      </w:pPr>
      <w:r w:rsidRPr="00F82E3F">
        <w:rPr>
          <w:lang w:val="en-GB"/>
        </w:rPr>
        <w:t>Haemost 2017;117:10721082.</w:t>
      </w:r>
    </w:p>
    <w:p w14:paraId="14E644C4" w14:textId="77777777" w:rsidR="00F82E3F" w:rsidRPr="00F82E3F" w:rsidRDefault="00F82E3F" w:rsidP="004D4071">
      <w:pPr>
        <w:pStyle w:val="Listenabsatz"/>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enabsatz"/>
        <w:rPr>
          <w:lang w:val="en-GB"/>
        </w:rPr>
      </w:pPr>
      <w:r w:rsidRPr="00F82E3F">
        <w:rPr>
          <w:lang w:val="en-GB"/>
        </w:rPr>
        <w:t>with atrial fibrillation: effectiveness and safety. J Am Coll Cardiol</w:t>
      </w:r>
    </w:p>
    <w:p w14:paraId="5BEFE055" w14:textId="77777777" w:rsidR="00F82E3F" w:rsidRDefault="00F82E3F" w:rsidP="00AF2CB9">
      <w:pPr>
        <w:pStyle w:val="Listenabsatz"/>
        <w:rPr>
          <w:lang w:val="en-GB"/>
        </w:rPr>
      </w:pPr>
      <w:r w:rsidRPr="00F82E3F">
        <w:rPr>
          <w:lang w:val="en-GB"/>
        </w:rPr>
        <w:t>2018;72:838853.</w:t>
      </w:r>
    </w:p>
    <w:p w14:paraId="1C7DFCDD" w14:textId="77777777" w:rsidR="008E301A" w:rsidRPr="008E301A" w:rsidRDefault="00AF2CB9" w:rsidP="004D4071">
      <w:pPr>
        <w:pStyle w:val="Listenabsatz"/>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enabsatz"/>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enabsatz"/>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enabsatz"/>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enabsatz"/>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enabsatz"/>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enabsatz"/>
        <w:rPr>
          <w:lang w:val="en-GB"/>
        </w:rPr>
      </w:pPr>
      <w:r w:rsidRPr="008E301A">
        <w:rPr>
          <w:lang w:val="en-GB"/>
        </w:rPr>
        <w:t>Pharmacotherapy 2017;37:412419.</w:t>
      </w:r>
    </w:p>
    <w:p w14:paraId="6E6D9631" w14:textId="77777777" w:rsidR="008E301A" w:rsidRPr="00AF2CB9" w:rsidRDefault="008E301A" w:rsidP="00AF2CB9">
      <w:pPr>
        <w:pStyle w:val="Listenabsatz"/>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enabsatz"/>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enabsatz"/>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enabsatz"/>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enabsatz"/>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enabsatz"/>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enabsatz"/>
        <w:rPr>
          <w:lang w:val="en-GB"/>
        </w:rPr>
      </w:pPr>
    </w:p>
    <w:p w14:paraId="3FFB8F2F" w14:textId="77777777" w:rsidR="00903B28" w:rsidRPr="00903B28" w:rsidRDefault="00903B28" w:rsidP="00AF2CB9">
      <w:pPr>
        <w:pStyle w:val="Listenabsatz"/>
        <w:numPr>
          <w:ilvl w:val="0"/>
          <w:numId w:val="25"/>
        </w:numPr>
        <w:rPr>
          <w:lang w:val="en-GB"/>
        </w:rPr>
      </w:pPr>
      <w:r w:rsidRPr="00903B28">
        <w:rPr>
          <w:lang w:val="en-GB"/>
        </w:rPr>
        <w:lastRenderedPageBreak/>
        <w:t>The ACTIVE Investigators. Effect of clopidogrel added to aspirin in patients with atrial fibrillation. N Engl J Med 2009;360:2066–2078.</w:t>
      </w:r>
    </w:p>
    <w:p w14:paraId="30B0C3AF" w14:textId="77777777" w:rsidR="00BB6A82" w:rsidRDefault="00BB6A82" w:rsidP="00AF2CB9">
      <w:pPr>
        <w:pStyle w:val="Listenabsatz"/>
        <w:rPr>
          <w:lang w:val="en-GB"/>
        </w:rPr>
      </w:pPr>
    </w:p>
    <w:p w14:paraId="084FE09A" w14:textId="77777777" w:rsidR="00BB6A82" w:rsidRPr="00AF2CB9" w:rsidRDefault="00BB6A82" w:rsidP="00AF2CB9">
      <w:pPr>
        <w:pStyle w:val="Listenabsatz"/>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enabsatz"/>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enabsatz"/>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enabsatz"/>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enabsatz"/>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enabsatz"/>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enabsatz"/>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enabsatz"/>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enabsatz"/>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enabsatz"/>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772D96" w:rsidP="00AF2CB9">
      <w:pPr>
        <w:pStyle w:val="Listenabsatz"/>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enabsatz"/>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enabsatz"/>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enabsatz"/>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enabsatz"/>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enabsatz"/>
        <w:numPr>
          <w:ilvl w:val="0"/>
          <w:numId w:val="25"/>
        </w:numPr>
        <w:rPr>
          <w:lang w:val="en-GB"/>
        </w:rPr>
      </w:pPr>
      <w:r w:rsidRPr="00B92FBF">
        <w:rPr>
          <w:lang w:val="en-GB"/>
        </w:rPr>
        <w:t>Mega JL, et al. N Engl J Med. 2012;366:9-19.</w:t>
      </w:r>
    </w:p>
    <w:p w14:paraId="22D305A1" w14:textId="77777777" w:rsidR="00710CB3" w:rsidRDefault="00B92FBF" w:rsidP="00AF2CB9">
      <w:pPr>
        <w:pStyle w:val="Listenabsatz"/>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enabsatz"/>
        <w:rPr>
          <w:lang w:val="en-GB"/>
        </w:rPr>
      </w:pPr>
    </w:p>
    <w:p w14:paraId="4CF3C183" w14:textId="77777777" w:rsidR="00BB6A82" w:rsidRDefault="005558A1" w:rsidP="00AF2CB9">
      <w:pPr>
        <w:pStyle w:val="Listenabsatz"/>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enabsatz"/>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enabsatz"/>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enabsatz"/>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enabsatz"/>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enabsatz"/>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enabsatz"/>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enabsatz"/>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enabsatz"/>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enabsatz"/>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enabsatz"/>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enabsatz"/>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enabsatz"/>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enabsatz"/>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enabsatz"/>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enabsatz"/>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enabsatz"/>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enabsatz"/>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enabsatz"/>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enabsatz"/>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enabsatz"/>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enabsatz"/>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enabsatz"/>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enabsatz"/>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enabsatz"/>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enabsatz"/>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enabsatz"/>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enabsatz"/>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enabsatz"/>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enabsatz"/>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enabsatz"/>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enabsatz"/>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enabsatz"/>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enabsatz"/>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enabsatz"/>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enabsatz"/>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enabsatz"/>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enabsatz"/>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enabsatz"/>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enabsatz"/>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enabsatz"/>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enabsatz"/>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772D96" w:rsidP="00707F1F">
      <w:pPr>
        <w:pStyle w:val="Listenabsatz"/>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enabsatz"/>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enabsatz"/>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enabsatz"/>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772D96" w:rsidP="00707F1F">
      <w:pPr>
        <w:pStyle w:val="Listenabsatz"/>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772D96" w:rsidP="00D40DAE">
      <w:pPr>
        <w:pStyle w:val="Listenabsatz"/>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enabsatz"/>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enabsatz"/>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enabsatz"/>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enabsatz"/>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enabsatz"/>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enabsatz"/>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enabsatz"/>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enabsatz"/>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enabsatz"/>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enabsatz"/>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enabsatz"/>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enabsatz"/>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enabsatz"/>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enabsatz"/>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enabsatz"/>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enabsatz"/>
        <w:rPr>
          <w:lang w:val="en-GB"/>
        </w:rPr>
      </w:pPr>
      <w:r w:rsidRPr="003C7A22">
        <w:rPr>
          <w:lang w:val="en-GB"/>
        </w:rPr>
        <w:t>alteplase: a systematic review of the available evidence. CNS Drugs</w:t>
      </w:r>
    </w:p>
    <w:p w14:paraId="0EBC89DB" w14:textId="77777777" w:rsidR="003C7A22" w:rsidRDefault="003C7A22" w:rsidP="00D73EB3">
      <w:pPr>
        <w:pStyle w:val="Listenabsatz"/>
        <w:rPr>
          <w:lang w:val="en-GB"/>
        </w:rPr>
      </w:pPr>
      <w:r w:rsidRPr="003C7A22">
        <w:rPr>
          <w:lang w:val="en-GB"/>
        </w:rPr>
        <w:t>2017;31:747757.</w:t>
      </w:r>
    </w:p>
    <w:p w14:paraId="720147DC" w14:textId="77777777" w:rsidR="00AC3847" w:rsidRPr="00D73EB3" w:rsidRDefault="00AC3847" w:rsidP="00D73EB3">
      <w:pPr>
        <w:pStyle w:val="Listenabsatz"/>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enabsatz"/>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enabsatz"/>
        <w:rPr>
          <w:lang w:val="en-GB"/>
        </w:rPr>
      </w:pPr>
      <w:r w:rsidRPr="00AC3847">
        <w:rPr>
          <w:lang w:val="en-GB"/>
        </w:rPr>
        <w:t>Undetermined Source. N Engl J Med 2018;378:21912201.</w:t>
      </w:r>
    </w:p>
    <w:p w14:paraId="23D37FC5" w14:textId="77777777" w:rsidR="00AC3847" w:rsidRPr="00D73EB3" w:rsidRDefault="00AC3847" w:rsidP="003C5394">
      <w:pPr>
        <w:pStyle w:val="Listenabsatz"/>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enabsatz"/>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enabsatz"/>
        <w:rPr>
          <w:lang w:val="en-GB"/>
        </w:rPr>
      </w:pPr>
      <w:r w:rsidRPr="00AC3847">
        <w:rPr>
          <w:lang w:val="en-GB"/>
        </w:rPr>
        <w:t>stroke after embolic stroke of undetermined source. N Engl J Med</w:t>
      </w:r>
    </w:p>
    <w:p w14:paraId="120EA604" w14:textId="77777777" w:rsidR="00F007AB" w:rsidRPr="00D73EB3" w:rsidRDefault="00AC3847" w:rsidP="00D73EB3">
      <w:pPr>
        <w:pStyle w:val="Listenabsatz"/>
        <w:rPr>
          <w:lang w:val="en-GB"/>
        </w:rPr>
      </w:pPr>
      <w:r w:rsidRPr="00AC3847">
        <w:rPr>
          <w:lang w:val="en-GB"/>
        </w:rPr>
        <w:t>2019;380:19061917.</w:t>
      </w:r>
    </w:p>
    <w:p w14:paraId="5703B348" w14:textId="77777777" w:rsidR="00F007AB" w:rsidRPr="00F007AB" w:rsidRDefault="00F007AB" w:rsidP="00707F1F">
      <w:pPr>
        <w:pStyle w:val="Listenabsatz"/>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enabsatz"/>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enabsatz"/>
        <w:rPr>
          <w:lang w:val="en-GB"/>
        </w:rPr>
      </w:pPr>
      <w:r w:rsidRPr="00F007AB">
        <w:rPr>
          <w:lang w:val="en-GB"/>
        </w:rPr>
        <w:t>fibrillation in poststroke patients: a French nationwide study. J Am Heart Assoc</w:t>
      </w:r>
    </w:p>
    <w:p w14:paraId="64550425" w14:textId="77777777" w:rsidR="00F007AB" w:rsidRDefault="00F007AB" w:rsidP="00D73EB3">
      <w:pPr>
        <w:pStyle w:val="Listenabsatz"/>
        <w:rPr>
          <w:lang w:val="en-GB"/>
        </w:rPr>
      </w:pPr>
      <w:r w:rsidRPr="00F007AB">
        <w:rPr>
          <w:lang w:val="en-GB"/>
        </w:rPr>
        <w:t>2019;8:e012546.</w:t>
      </w:r>
    </w:p>
    <w:p w14:paraId="2C8CF7ED" w14:textId="77777777" w:rsidR="00805686" w:rsidRPr="00D73EB3" w:rsidRDefault="00805686" w:rsidP="00D73EB3">
      <w:pPr>
        <w:pStyle w:val="Listenabsatz"/>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enabsatz"/>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enabsatz"/>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enabsatz"/>
        <w:rPr>
          <w:lang w:val="en-GB"/>
        </w:rPr>
      </w:pPr>
      <w:r w:rsidRPr="00805686">
        <w:rPr>
          <w:lang w:val="en-GB"/>
        </w:rPr>
        <w:t>hemorrhage: a systematic review and meta-analysis. Stroke</w:t>
      </w:r>
    </w:p>
    <w:p w14:paraId="4EB5C066" w14:textId="77777777" w:rsidR="00805686" w:rsidRDefault="00805686" w:rsidP="00D73EB3">
      <w:pPr>
        <w:pStyle w:val="Listenabsatz"/>
        <w:rPr>
          <w:lang w:val="en-GB"/>
        </w:rPr>
      </w:pPr>
      <w:r w:rsidRPr="00805686">
        <w:rPr>
          <w:lang w:val="en-GB"/>
        </w:rPr>
        <w:t>2017;48:15941600.</w:t>
      </w:r>
    </w:p>
    <w:p w14:paraId="2DA2EF2F" w14:textId="77777777" w:rsidR="00653D69" w:rsidRPr="00D73EB3" w:rsidRDefault="00653D69" w:rsidP="00D73EB3">
      <w:pPr>
        <w:pStyle w:val="Listenabsatz"/>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enabsatz"/>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enabsatz"/>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enabsatz"/>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enabsatz"/>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E792" w14:textId="77777777" w:rsidR="00772D96" w:rsidRDefault="00772D96" w:rsidP="004762BD">
      <w:pPr>
        <w:spacing w:after="0" w:line="240" w:lineRule="auto"/>
      </w:pPr>
      <w:r>
        <w:separator/>
      </w:r>
    </w:p>
  </w:endnote>
  <w:endnote w:type="continuationSeparator" w:id="0">
    <w:p w14:paraId="2A72404E" w14:textId="77777777" w:rsidR="00772D96" w:rsidRDefault="00772D96"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DCCB" w14:textId="77777777" w:rsidR="00772D96" w:rsidRDefault="00772D96" w:rsidP="004762BD">
      <w:pPr>
        <w:spacing w:after="0" w:line="240" w:lineRule="auto"/>
      </w:pPr>
      <w:r>
        <w:separator/>
      </w:r>
    </w:p>
  </w:footnote>
  <w:footnote w:type="continuationSeparator" w:id="0">
    <w:p w14:paraId="6D7CD287" w14:textId="77777777" w:rsidR="00772D96" w:rsidRDefault="00772D96"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0"/>
  </w:num>
  <w:num w:numId="5">
    <w:abstractNumId w:val="12"/>
  </w:num>
  <w:num w:numId="6">
    <w:abstractNumId w:val="13"/>
  </w:num>
  <w:num w:numId="7">
    <w:abstractNumId w:val="21"/>
  </w:num>
  <w:num w:numId="8">
    <w:abstractNumId w:val="1"/>
  </w:num>
  <w:num w:numId="9">
    <w:abstractNumId w:val="7"/>
  </w:num>
  <w:num w:numId="10">
    <w:abstractNumId w:val="8"/>
  </w:num>
  <w:num w:numId="11">
    <w:abstractNumId w:val="17"/>
  </w:num>
  <w:num w:numId="12">
    <w:abstractNumId w:val="5"/>
  </w:num>
  <w:num w:numId="13">
    <w:abstractNumId w:val="2"/>
  </w:num>
  <w:num w:numId="14">
    <w:abstractNumId w:val="15"/>
  </w:num>
  <w:num w:numId="15">
    <w:abstractNumId w:val="11"/>
  </w:num>
  <w:num w:numId="16">
    <w:abstractNumId w:val="19"/>
  </w:num>
  <w:num w:numId="17">
    <w:abstractNumId w:val="24"/>
  </w:num>
  <w:num w:numId="18">
    <w:abstractNumId w:val="22"/>
  </w:num>
  <w:num w:numId="19">
    <w:abstractNumId w:val="6"/>
  </w:num>
  <w:num w:numId="20">
    <w:abstractNumId w:val="9"/>
  </w:num>
  <w:num w:numId="21">
    <w:abstractNumId w:val="20"/>
  </w:num>
  <w:num w:numId="22">
    <w:abstractNumId w:val="25"/>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725B3"/>
    <w:rsid w:val="00184532"/>
    <w:rsid w:val="001B1A00"/>
    <w:rsid w:val="001E737B"/>
    <w:rsid w:val="001F4EEF"/>
    <w:rsid w:val="00200FC9"/>
    <w:rsid w:val="002067B8"/>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2D96"/>
    <w:rsid w:val="0077559E"/>
    <w:rsid w:val="007C501D"/>
    <w:rsid w:val="00805686"/>
    <w:rsid w:val="00817D44"/>
    <w:rsid w:val="008752CA"/>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92FBF"/>
    <w:rsid w:val="00BA27D5"/>
    <w:rsid w:val="00BB6A82"/>
    <w:rsid w:val="00BB7D09"/>
    <w:rsid w:val="00BC63A6"/>
    <w:rsid w:val="00BE1596"/>
    <w:rsid w:val="00BF52C1"/>
    <w:rsid w:val="00C159E4"/>
    <w:rsid w:val="00C53941"/>
    <w:rsid w:val="00C63FC3"/>
    <w:rsid w:val="00CB549E"/>
    <w:rsid w:val="00D2146D"/>
    <w:rsid w:val="00D40DAE"/>
    <w:rsid w:val="00D447CE"/>
    <w:rsid w:val="00D6250A"/>
    <w:rsid w:val="00D65309"/>
    <w:rsid w:val="00D73EB3"/>
    <w:rsid w:val="00DE0DFD"/>
    <w:rsid w:val="00DE1A5E"/>
    <w:rsid w:val="00DE79CC"/>
    <w:rsid w:val="00DF73B8"/>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4983"/>
    <w:pPr>
      <w:ind w:left="720"/>
      <w:contextualSpacing/>
    </w:pPr>
  </w:style>
  <w:style w:type="paragraph" w:styleId="KeinLeerraum">
    <w:name w:val="No Spacing"/>
    <w:uiPriority w:val="1"/>
    <w:qFormat/>
    <w:rsid w:val="00475CE2"/>
    <w:pPr>
      <w:spacing w:after="0" w:line="240" w:lineRule="auto"/>
    </w:pPr>
  </w:style>
  <w:style w:type="character" w:styleId="Hyperlink">
    <w:name w:val="Hyperlink"/>
    <w:basedOn w:val="Absatz-Standardschriftart"/>
    <w:uiPriority w:val="99"/>
    <w:unhideWhenUsed/>
    <w:rsid w:val="008752CA"/>
    <w:rPr>
      <w:color w:val="0563C1" w:themeColor="hyperlink"/>
      <w:u w:val="single"/>
    </w:rPr>
  </w:style>
  <w:style w:type="paragraph" w:styleId="Sprechblasentext">
    <w:name w:val="Balloon Text"/>
    <w:basedOn w:val="Standard"/>
    <w:link w:val="SprechblasentextZchn"/>
    <w:uiPriority w:val="99"/>
    <w:semiHidden/>
    <w:unhideWhenUsed/>
    <w:rsid w:val="00DE1A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A5E"/>
    <w:rPr>
      <w:rFonts w:ascii="Segoe UI" w:hAnsi="Segoe UI" w:cs="Segoe UI"/>
      <w:sz w:val="18"/>
      <w:szCs w:val="18"/>
    </w:rPr>
  </w:style>
  <w:style w:type="character" w:customStyle="1" w:styleId="berschrift3Zchn">
    <w:name w:val="Überschrift 3 Zchn"/>
    <w:basedOn w:val="Absatz-Standardschriftart"/>
    <w:link w:val="berschrift3"/>
    <w:uiPriority w:val="9"/>
    <w:rsid w:val="00DE79CC"/>
    <w:rPr>
      <w:rFonts w:ascii="Cambria" w:eastAsiaTheme="majorEastAsia" w:hAnsi="Cambria" w:cs="Arial"/>
      <w:b/>
      <w:bCs/>
      <w:color w:val="E73040"/>
      <w:sz w:val="24"/>
      <w:szCs w:val="24"/>
    </w:rPr>
  </w:style>
  <w:style w:type="character" w:customStyle="1" w:styleId="berschrift2Zchn">
    <w:name w:val="Überschrift 2 Zchn"/>
    <w:basedOn w:val="Absatz-Standardschriftart"/>
    <w:link w:val="berschrift2"/>
    <w:uiPriority w:val="9"/>
    <w:semiHidden/>
    <w:rsid w:val="00DE79C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76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762BD"/>
  </w:style>
  <w:style w:type="paragraph" w:styleId="Fuzeile">
    <w:name w:val="footer"/>
    <w:basedOn w:val="Standard"/>
    <w:link w:val="FuzeileZchn"/>
    <w:uiPriority w:val="99"/>
    <w:unhideWhenUsed/>
    <w:rsid w:val="004762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6711</Words>
  <Characters>42281</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Papamihali</dc:creator>
  <cp:keywords/>
  <dc:description/>
  <cp:lastModifiedBy>Themeli, Alba</cp:lastModifiedBy>
  <cp:revision>2</cp:revision>
  <cp:lastPrinted>2021-11-05T15:10:00Z</cp:lastPrinted>
  <dcterms:created xsi:type="dcterms:W3CDTF">2024-02-23T08:09:00Z</dcterms:created>
  <dcterms:modified xsi:type="dcterms:W3CDTF">2024-02-23T08:09:00Z</dcterms:modified>
</cp:coreProperties>
</file>