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2109F" w14:textId="35CB477E" w:rsidR="00A72800"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bookmarkStart w:id="0" w:name="_Hlk90394983"/>
      <w:bookmarkStart w:id="1" w:name="_GoBack"/>
      <w:bookmarkEnd w:id="1"/>
      <w:r>
        <w:rPr>
          <w:rFonts w:eastAsia="Times New Roman" w:cstheme="minorHAnsi"/>
          <w:b/>
          <w:bCs/>
          <w:sz w:val="28"/>
          <w:szCs w:val="28"/>
        </w:rPr>
        <w:t>P</w:t>
      </w:r>
      <w:r w:rsidRPr="00015D13">
        <w:rPr>
          <w:rFonts w:eastAsia="Times New Roman" w:cstheme="minorHAnsi"/>
          <w:b/>
          <w:bCs/>
          <w:sz w:val="28"/>
          <w:szCs w:val="28"/>
        </w:rPr>
        <w:t>arandalimi i insultit cerebral ne pacientet me fibrilacion atrial: nga studimet ne praktiken e perditeshme klinike</w:t>
      </w:r>
      <w:r w:rsidR="007E5A4F">
        <w:rPr>
          <w:rFonts w:eastAsia="Times New Roman" w:cstheme="minorHAnsi"/>
          <w:b/>
          <w:bCs/>
          <w:sz w:val="28"/>
          <w:szCs w:val="28"/>
        </w:rPr>
        <w:t>-  Moduli II</w:t>
      </w:r>
    </w:p>
    <w:p w14:paraId="0098AE8F" w14:textId="77777777" w:rsidR="00015D13" w:rsidRPr="00015D13" w:rsidRDefault="00015D13" w:rsidP="00A72800">
      <w:pPr>
        <w:widowControl w:val="0"/>
        <w:kinsoku w:val="0"/>
        <w:overflowPunct w:val="0"/>
        <w:autoSpaceDE w:val="0"/>
        <w:autoSpaceDN w:val="0"/>
        <w:adjustRightInd w:val="0"/>
        <w:spacing w:after="0" w:line="240" w:lineRule="auto"/>
        <w:rPr>
          <w:rFonts w:eastAsia="Times New Roman" w:cstheme="minorHAnsi"/>
          <w:b/>
          <w:bCs/>
          <w:sz w:val="28"/>
          <w:szCs w:val="28"/>
        </w:rPr>
      </w:pPr>
    </w:p>
    <w:p w14:paraId="4998733E" w14:textId="4EA3CD3F" w:rsidR="000E0F59" w:rsidRPr="00D5629F" w:rsidRDefault="009213B4" w:rsidP="00B20D40">
      <w:pPr>
        <w:widowControl w:val="0"/>
        <w:tabs>
          <w:tab w:val="left" w:pos="1237"/>
          <w:tab w:val="left" w:leader="dot" w:pos="9151"/>
        </w:tabs>
        <w:kinsoku w:val="0"/>
        <w:overflowPunct w:val="0"/>
        <w:autoSpaceDE w:val="0"/>
        <w:autoSpaceDN w:val="0"/>
        <w:adjustRightInd w:val="0"/>
        <w:spacing w:before="242" w:after="0" w:line="240" w:lineRule="auto"/>
        <w:rPr>
          <w:rFonts w:eastAsia="Times New Roman" w:cstheme="minorHAnsi"/>
          <w:b/>
          <w:bCs/>
          <w:sz w:val="24"/>
          <w:szCs w:val="24"/>
        </w:rPr>
      </w:pPr>
      <w:r w:rsidRPr="00D5629F">
        <w:rPr>
          <w:rFonts w:eastAsia="Times New Roman" w:cstheme="minorHAnsi"/>
          <w:b/>
          <w:bCs/>
          <w:sz w:val="24"/>
          <w:szCs w:val="24"/>
        </w:rPr>
        <w:t>Pë</w:t>
      </w:r>
      <w:r w:rsidR="00015D13" w:rsidRPr="00D5629F">
        <w:rPr>
          <w:rFonts w:eastAsia="Times New Roman" w:cstheme="minorHAnsi"/>
          <w:b/>
          <w:bCs/>
          <w:sz w:val="24"/>
          <w:szCs w:val="24"/>
        </w:rPr>
        <w:t>rmbajtj</w:t>
      </w:r>
      <w:r w:rsidRPr="00D5629F">
        <w:rPr>
          <w:rFonts w:eastAsia="Times New Roman" w:cstheme="minorHAnsi"/>
          <w:b/>
          <w:bCs/>
          <w:sz w:val="24"/>
          <w:szCs w:val="24"/>
        </w:rPr>
        <w:t>a</w:t>
      </w:r>
    </w:p>
    <w:p w14:paraId="6F2E2316" w14:textId="77777777" w:rsidR="00CA3F62" w:rsidRPr="007E5A4F" w:rsidRDefault="00CA3F62" w:rsidP="00D5629F">
      <w:pPr>
        <w:rPr>
          <w:b/>
          <w:bCs/>
          <w:sz w:val="24"/>
          <w:szCs w:val="24"/>
        </w:rPr>
      </w:pPr>
      <w:r w:rsidRPr="00D5629F">
        <w:rPr>
          <w:sz w:val="24"/>
          <w:szCs w:val="24"/>
        </w:rPr>
        <w:t xml:space="preserve">3. </w:t>
      </w:r>
      <w:r w:rsidRPr="007E5A4F">
        <w:rPr>
          <w:b/>
          <w:bCs/>
          <w:sz w:val="24"/>
          <w:szCs w:val="24"/>
        </w:rPr>
        <w:t>Popullata t</w:t>
      </w:r>
      <w:r w:rsidR="007E6A26" w:rsidRPr="007E5A4F">
        <w:rPr>
          <w:b/>
          <w:bCs/>
          <w:sz w:val="24"/>
          <w:szCs w:val="24"/>
        </w:rPr>
        <w:t>ë</w:t>
      </w:r>
      <w:r w:rsidRPr="007E5A4F">
        <w:rPr>
          <w:b/>
          <w:bCs/>
          <w:sz w:val="24"/>
          <w:szCs w:val="24"/>
        </w:rPr>
        <w:t xml:space="preserve"> vecanta</w:t>
      </w:r>
    </w:p>
    <w:p w14:paraId="5A749A0F" w14:textId="77777777" w:rsidR="007A628A" w:rsidRPr="00D5629F" w:rsidRDefault="00237A74" w:rsidP="00D5629F">
      <w:pPr>
        <w:rPr>
          <w:sz w:val="24"/>
          <w:szCs w:val="24"/>
        </w:rPr>
      </w:pPr>
      <w:r w:rsidRPr="00D5629F">
        <w:rPr>
          <w:sz w:val="24"/>
          <w:szCs w:val="24"/>
        </w:rPr>
        <w:t xml:space="preserve">    3.4 Pacientët me fibrilacion atrial dhe përkeqësim të funksionit renal</w:t>
      </w:r>
    </w:p>
    <w:p w14:paraId="46472058" w14:textId="4EE58AAB"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.1 Epidemiologjia</w:t>
      </w:r>
    </w:p>
    <w:p w14:paraId="31B0A337" w14:textId="103F5B62" w:rsidR="007A628A"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.2 Evidencat klinike</w:t>
      </w:r>
    </w:p>
    <w:p w14:paraId="60724740" w14:textId="72C76DBE" w:rsidR="00CA3F62" w:rsidRPr="00D5629F" w:rsidRDefault="007A628A" w:rsidP="00D5629F">
      <w:pPr>
        <w:rPr>
          <w:sz w:val="24"/>
          <w:szCs w:val="24"/>
        </w:rPr>
      </w:pPr>
      <w:r w:rsidRPr="00D5629F">
        <w:rPr>
          <w:sz w:val="24"/>
          <w:szCs w:val="24"/>
        </w:rPr>
        <w:t xml:space="preserve">           3.</w:t>
      </w:r>
      <w:r w:rsidR="007467D9">
        <w:rPr>
          <w:sz w:val="24"/>
          <w:szCs w:val="24"/>
        </w:rPr>
        <w:t>4</w:t>
      </w:r>
      <w:r w:rsidRPr="00D5629F">
        <w:rPr>
          <w:sz w:val="24"/>
          <w:szCs w:val="24"/>
        </w:rPr>
        <w:t>.3 Rekomandimet e udhëzuesve</w:t>
      </w:r>
    </w:p>
    <w:p w14:paraId="1B244D06" w14:textId="77777777"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A628A" w:rsidRPr="00D5629F">
        <w:rPr>
          <w:sz w:val="24"/>
          <w:szCs w:val="24"/>
        </w:rPr>
        <w:t>.5</w:t>
      </w:r>
      <w:r w:rsidR="00CA3F62" w:rsidRPr="00D5629F">
        <w:rPr>
          <w:sz w:val="24"/>
          <w:szCs w:val="24"/>
        </w:rPr>
        <w:t xml:space="preserve"> Pacient</w:t>
      </w:r>
      <w:r w:rsidR="007E6A26" w:rsidRPr="00D5629F">
        <w:rPr>
          <w:sz w:val="24"/>
          <w:szCs w:val="24"/>
        </w:rPr>
        <w:t>ë</w:t>
      </w:r>
      <w:r w:rsidR="00CA3F62" w:rsidRPr="00D5629F">
        <w:rPr>
          <w:sz w:val="24"/>
          <w:szCs w:val="24"/>
        </w:rPr>
        <w:t>t e moshuar me fibrialacion atrial</w:t>
      </w:r>
    </w:p>
    <w:p w14:paraId="5AABB2CC" w14:textId="4E580ABF" w:rsidR="007A628A" w:rsidRPr="00D5629F" w:rsidRDefault="007A628A"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.1 Epidemiologjia</w:t>
      </w:r>
    </w:p>
    <w:p w14:paraId="07F7313A" w14:textId="1C3653DF" w:rsidR="00CA3F62" w:rsidRPr="00D5629F"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.2 Evidencat klinike</w:t>
      </w:r>
    </w:p>
    <w:p w14:paraId="6D74BFDE" w14:textId="03427293" w:rsidR="000524D3" w:rsidRPr="00664224" w:rsidRDefault="00405822" w:rsidP="00D5629F">
      <w:pPr>
        <w:rPr>
          <w:sz w:val="24"/>
          <w:szCs w:val="24"/>
        </w:rPr>
      </w:pPr>
      <w:r w:rsidRPr="00D5629F">
        <w:rPr>
          <w:sz w:val="24"/>
          <w:szCs w:val="24"/>
        </w:rPr>
        <w:t xml:space="preserve">           </w:t>
      </w:r>
      <w:r w:rsidR="00CA3F62" w:rsidRPr="00D5629F">
        <w:rPr>
          <w:sz w:val="24"/>
          <w:szCs w:val="24"/>
        </w:rPr>
        <w:t>3.</w:t>
      </w:r>
      <w:r w:rsidR="007467D9">
        <w:rPr>
          <w:sz w:val="24"/>
          <w:szCs w:val="24"/>
        </w:rPr>
        <w:t>5</w:t>
      </w:r>
      <w:r w:rsidR="00CA3F62" w:rsidRPr="00D5629F">
        <w:rPr>
          <w:sz w:val="24"/>
          <w:szCs w:val="24"/>
        </w:rPr>
        <w:t>.3 Rekomandimet e udhëzuesve</w:t>
      </w:r>
    </w:p>
    <w:p w14:paraId="32F18B28" w14:textId="77777777" w:rsidR="000524D3" w:rsidRPr="00D5629F" w:rsidRDefault="000524D3" w:rsidP="00D5629F">
      <w:pPr>
        <w:rPr>
          <w:sz w:val="24"/>
          <w:szCs w:val="24"/>
        </w:rPr>
      </w:pPr>
      <w:r w:rsidRPr="00D5629F">
        <w:rPr>
          <w:sz w:val="24"/>
          <w:szCs w:val="24"/>
        </w:rPr>
        <w:t xml:space="preserve">     3.6 Infarkti akut cerebral dhe hemorragjia intrakraniale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 xml:space="preserve">t me fibrilacion atrial </w:t>
      </w:r>
    </w:p>
    <w:p w14:paraId="77743965" w14:textId="77777777" w:rsidR="000524D3" w:rsidRPr="00D5629F" w:rsidRDefault="000524D3" w:rsidP="00D5629F">
      <w:pPr>
        <w:rPr>
          <w:sz w:val="24"/>
          <w:szCs w:val="24"/>
        </w:rPr>
      </w:pPr>
      <w:r w:rsidRPr="00D5629F">
        <w:rPr>
          <w:sz w:val="24"/>
          <w:szCs w:val="24"/>
        </w:rPr>
        <w:t xml:space="preserve">            3.6.1 Parandalimi dyt</w:t>
      </w:r>
      <w:r w:rsidR="007E6A26" w:rsidRPr="00D5629F">
        <w:rPr>
          <w:sz w:val="24"/>
          <w:szCs w:val="24"/>
        </w:rPr>
        <w:t>ë</w:t>
      </w:r>
      <w:r w:rsidRPr="00D5629F">
        <w:rPr>
          <w:sz w:val="24"/>
          <w:szCs w:val="24"/>
        </w:rPr>
        <w:t xml:space="preserve">sor i infarktit akut cerebral dhe atakut ishemik tranzitor (TIA)     </w:t>
      </w:r>
    </w:p>
    <w:p w14:paraId="40CADCEA" w14:textId="77777777" w:rsidR="00D41A8D" w:rsidRPr="00D5629F" w:rsidRDefault="000524D3" w:rsidP="00D5629F">
      <w:pPr>
        <w:rPr>
          <w:sz w:val="24"/>
          <w:szCs w:val="24"/>
        </w:rPr>
      </w:pPr>
      <w:r w:rsidRPr="00D5629F">
        <w:rPr>
          <w:sz w:val="24"/>
          <w:szCs w:val="24"/>
        </w:rPr>
        <w:t xml:space="preserve">            n</w:t>
      </w:r>
      <w:r w:rsidR="007E6A26" w:rsidRPr="00D5629F">
        <w:rPr>
          <w:sz w:val="24"/>
          <w:szCs w:val="24"/>
        </w:rPr>
        <w:t>ë</w:t>
      </w:r>
      <w:r w:rsidRPr="00D5629F">
        <w:rPr>
          <w:sz w:val="24"/>
          <w:szCs w:val="24"/>
        </w:rPr>
        <w:t xml:space="preserve"> pacient</w:t>
      </w:r>
      <w:r w:rsidR="007E6A26" w:rsidRPr="00D5629F">
        <w:rPr>
          <w:sz w:val="24"/>
          <w:szCs w:val="24"/>
        </w:rPr>
        <w:t>ë</w:t>
      </w:r>
      <w:r w:rsidRPr="00D5629F">
        <w:rPr>
          <w:sz w:val="24"/>
          <w:szCs w:val="24"/>
        </w:rPr>
        <w:t>t me fibrilacion atrial</w:t>
      </w:r>
    </w:p>
    <w:p w14:paraId="4189D559" w14:textId="77777777" w:rsidR="000524D3" w:rsidRPr="00D5629F" w:rsidRDefault="000524D3" w:rsidP="00D5629F">
      <w:pPr>
        <w:rPr>
          <w:sz w:val="24"/>
          <w:szCs w:val="24"/>
        </w:rPr>
      </w:pPr>
      <w:r w:rsidRPr="00D5629F">
        <w:rPr>
          <w:sz w:val="24"/>
          <w:szCs w:val="24"/>
        </w:rPr>
        <w:t xml:space="preserve">            3.6.2 Infarkti cerebral embolik / kriptogjenik (nga shkaqe të panjohura)</w:t>
      </w:r>
    </w:p>
    <w:p w14:paraId="5FCA9717" w14:textId="77777777" w:rsidR="000524D3" w:rsidRPr="00D5629F" w:rsidRDefault="000524D3" w:rsidP="00D5629F">
      <w:pPr>
        <w:rPr>
          <w:sz w:val="24"/>
          <w:szCs w:val="24"/>
        </w:rPr>
      </w:pPr>
      <w:r w:rsidRPr="00D5629F">
        <w:rPr>
          <w:sz w:val="24"/>
          <w:szCs w:val="24"/>
        </w:rPr>
        <w:t xml:space="preserve">            3.6.3 Menaxhimi i pacientëve me fibrilacion atrial pas hemorragjisë intrakraniale</w:t>
      </w:r>
    </w:p>
    <w:p w14:paraId="7A132C70" w14:textId="08087AB0" w:rsidR="000524D3" w:rsidRDefault="000524D3" w:rsidP="00D5629F">
      <w:pPr>
        <w:rPr>
          <w:sz w:val="24"/>
          <w:szCs w:val="24"/>
        </w:rPr>
      </w:pPr>
      <w:r w:rsidRPr="00D5629F">
        <w:rPr>
          <w:sz w:val="24"/>
          <w:szCs w:val="24"/>
        </w:rPr>
        <w:t xml:space="preserve">            3.6.4 Evidencat klinike</w:t>
      </w:r>
    </w:p>
    <w:p w14:paraId="0DD50D51" w14:textId="6CFE9D56" w:rsidR="00962BE2" w:rsidRPr="007E5A4F" w:rsidRDefault="00962BE2" w:rsidP="00D5629F">
      <w:pPr>
        <w:rPr>
          <w:b/>
          <w:bCs/>
          <w:sz w:val="24"/>
          <w:szCs w:val="24"/>
        </w:rPr>
      </w:pPr>
      <w:r>
        <w:rPr>
          <w:sz w:val="24"/>
          <w:szCs w:val="24"/>
        </w:rPr>
        <w:t xml:space="preserve">4. </w:t>
      </w:r>
      <w:r w:rsidRPr="007E5A4F">
        <w:rPr>
          <w:b/>
          <w:bCs/>
          <w:sz w:val="24"/>
          <w:szCs w:val="24"/>
        </w:rPr>
        <w:t>Aspekte t</w:t>
      </w:r>
      <w:r w:rsidR="002A5134" w:rsidRPr="007E5A4F">
        <w:rPr>
          <w:b/>
          <w:bCs/>
          <w:sz w:val="24"/>
          <w:szCs w:val="24"/>
        </w:rPr>
        <w:t>ë</w:t>
      </w:r>
      <w:r w:rsidRPr="007E5A4F">
        <w:rPr>
          <w:b/>
          <w:bCs/>
          <w:sz w:val="24"/>
          <w:szCs w:val="24"/>
        </w:rPr>
        <w:t xml:space="preserve"> tjera praktike t</w:t>
      </w:r>
      <w:r w:rsidR="002A5134" w:rsidRPr="007E5A4F">
        <w:rPr>
          <w:b/>
          <w:bCs/>
          <w:sz w:val="24"/>
          <w:szCs w:val="24"/>
        </w:rPr>
        <w:t>ë</w:t>
      </w:r>
      <w:r w:rsidRPr="007E5A4F">
        <w:rPr>
          <w:b/>
          <w:bCs/>
          <w:sz w:val="24"/>
          <w:szCs w:val="24"/>
        </w:rPr>
        <w:t xml:space="preserve"> p</w:t>
      </w:r>
      <w:r w:rsidR="002A5134" w:rsidRPr="007E5A4F">
        <w:rPr>
          <w:b/>
          <w:bCs/>
          <w:sz w:val="24"/>
          <w:szCs w:val="24"/>
        </w:rPr>
        <w:t>ë</w:t>
      </w:r>
      <w:r w:rsidRPr="007E5A4F">
        <w:rPr>
          <w:b/>
          <w:bCs/>
          <w:sz w:val="24"/>
          <w:szCs w:val="24"/>
        </w:rPr>
        <w:t>rdorimit klinik t</w:t>
      </w:r>
      <w:r w:rsidR="002A5134" w:rsidRPr="007E5A4F">
        <w:rPr>
          <w:b/>
          <w:bCs/>
          <w:sz w:val="24"/>
          <w:szCs w:val="24"/>
        </w:rPr>
        <w:t>ë</w:t>
      </w:r>
      <w:r w:rsidRPr="007E5A4F">
        <w:rPr>
          <w:b/>
          <w:bCs/>
          <w:sz w:val="24"/>
          <w:szCs w:val="24"/>
        </w:rPr>
        <w:t xml:space="preserve"> NOAC-</w:t>
      </w:r>
      <w:r w:rsidR="002A5134" w:rsidRPr="007E5A4F">
        <w:rPr>
          <w:b/>
          <w:bCs/>
          <w:sz w:val="24"/>
          <w:szCs w:val="24"/>
        </w:rPr>
        <w:t>ë</w:t>
      </w:r>
      <w:r w:rsidRPr="007E5A4F">
        <w:rPr>
          <w:b/>
          <w:bCs/>
          <w:sz w:val="24"/>
          <w:szCs w:val="24"/>
        </w:rPr>
        <w:t>ve</w:t>
      </w:r>
      <w:r w:rsidR="00834918" w:rsidRPr="007E5A4F">
        <w:rPr>
          <w:b/>
          <w:bCs/>
          <w:sz w:val="24"/>
          <w:szCs w:val="24"/>
        </w:rPr>
        <w:t xml:space="preserve"> sipas Udh</w:t>
      </w:r>
      <w:r w:rsidR="002A5134" w:rsidRPr="007E5A4F">
        <w:rPr>
          <w:b/>
          <w:bCs/>
          <w:sz w:val="24"/>
          <w:szCs w:val="24"/>
        </w:rPr>
        <w:t>ë</w:t>
      </w:r>
      <w:r w:rsidR="00834918" w:rsidRPr="007E5A4F">
        <w:rPr>
          <w:b/>
          <w:bCs/>
          <w:sz w:val="24"/>
          <w:szCs w:val="24"/>
        </w:rPr>
        <w:t>zuesit Praktik 2021 t</w:t>
      </w:r>
      <w:r w:rsidR="002A5134" w:rsidRPr="007E5A4F">
        <w:rPr>
          <w:b/>
          <w:bCs/>
          <w:sz w:val="24"/>
          <w:szCs w:val="24"/>
        </w:rPr>
        <w:t>ë</w:t>
      </w:r>
      <w:r w:rsidR="00834918" w:rsidRPr="007E5A4F">
        <w:rPr>
          <w:b/>
          <w:bCs/>
          <w:sz w:val="24"/>
          <w:szCs w:val="24"/>
        </w:rPr>
        <w:t xml:space="preserve"> Shoqat</w:t>
      </w:r>
      <w:r w:rsidR="002A5134" w:rsidRPr="007E5A4F">
        <w:rPr>
          <w:b/>
          <w:bCs/>
          <w:sz w:val="24"/>
          <w:szCs w:val="24"/>
        </w:rPr>
        <w:t>ë</w:t>
      </w:r>
      <w:r w:rsidR="00834918" w:rsidRPr="007E5A4F">
        <w:rPr>
          <w:b/>
          <w:bCs/>
          <w:sz w:val="24"/>
          <w:szCs w:val="24"/>
        </w:rPr>
        <w:t>s Evropiane t</w:t>
      </w:r>
      <w:r w:rsidR="002A5134" w:rsidRPr="007E5A4F">
        <w:rPr>
          <w:b/>
          <w:bCs/>
          <w:sz w:val="24"/>
          <w:szCs w:val="24"/>
        </w:rPr>
        <w:t>ë</w:t>
      </w:r>
      <w:r w:rsidR="00834918" w:rsidRPr="007E5A4F">
        <w:rPr>
          <w:b/>
          <w:bCs/>
          <w:sz w:val="24"/>
          <w:szCs w:val="24"/>
        </w:rPr>
        <w:t xml:space="preserve"> Ritmit t</w:t>
      </w:r>
      <w:r w:rsidR="002A5134" w:rsidRPr="007E5A4F">
        <w:rPr>
          <w:b/>
          <w:bCs/>
          <w:sz w:val="24"/>
          <w:szCs w:val="24"/>
        </w:rPr>
        <w:t>ë</w:t>
      </w:r>
      <w:r w:rsidR="00834918" w:rsidRPr="007E5A4F">
        <w:rPr>
          <w:b/>
          <w:bCs/>
          <w:sz w:val="24"/>
          <w:szCs w:val="24"/>
        </w:rPr>
        <w:t xml:space="preserve"> Zemr</w:t>
      </w:r>
      <w:r w:rsidR="002A5134" w:rsidRPr="007E5A4F">
        <w:rPr>
          <w:b/>
          <w:bCs/>
          <w:sz w:val="24"/>
          <w:szCs w:val="24"/>
        </w:rPr>
        <w:t>ë</w:t>
      </w:r>
      <w:r w:rsidR="00834918" w:rsidRPr="007E5A4F">
        <w:rPr>
          <w:b/>
          <w:bCs/>
          <w:sz w:val="24"/>
          <w:szCs w:val="24"/>
        </w:rPr>
        <w:t>s</w:t>
      </w:r>
    </w:p>
    <w:p w14:paraId="2BC09C6A" w14:textId="107D1F15" w:rsidR="00E0285C" w:rsidRDefault="00E0285C" w:rsidP="00D5629F">
      <w:pPr>
        <w:rPr>
          <w:sz w:val="24"/>
          <w:szCs w:val="24"/>
        </w:rPr>
      </w:pPr>
      <w:r>
        <w:rPr>
          <w:sz w:val="24"/>
          <w:szCs w:val="24"/>
        </w:rPr>
        <w:t xml:space="preserve">    4.1 </w:t>
      </w:r>
      <w:r w:rsidR="00834918" w:rsidRPr="00834918">
        <w:rPr>
          <w:sz w:val="24"/>
          <w:szCs w:val="24"/>
        </w:rPr>
        <w:t xml:space="preserve"> Në cilat forma të fibrilacionit atrial indikohen NOAC-ët</w:t>
      </w:r>
    </w:p>
    <w:p w14:paraId="613946B5" w14:textId="21FA29AD" w:rsidR="00834918" w:rsidRPr="00834918" w:rsidRDefault="00834918" w:rsidP="00834918">
      <w:pPr>
        <w:rPr>
          <w:sz w:val="24"/>
          <w:szCs w:val="24"/>
        </w:rPr>
      </w:pPr>
      <w:r>
        <w:rPr>
          <w:sz w:val="24"/>
          <w:szCs w:val="24"/>
        </w:rPr>
        <w:t xml:space="preserve">    </w:t>
      </w:r>
      <w:r w:rsidRPr="00834918">
        <w:rPr>
          <w:sz w:val="24"/>
          <w:szCs w:val="24"/>
        </w:rPr>
        <w:t xml:space="preserve">4.2 </w:t>
      </w:r>
      <w:r>
        <w:rPr>
          <w:sz w:val="24"/>
          <w:szCs w:val="24"/>
        </w:rPr>
        <w:t xml:space="preserve"> </w:t>
      </w:r>
      <w:r w:rsidRPr="00834918">
        <w:rPr>
          <w:sz w:val="24"/>
          <w:szCs w:val="24"/>
        </w:rPr>
        <w:t>Menaxhimi i hemorragjisë nën terapinë me NOAC</w:t>
      </w:r>
    </w:p>
    <w:p w14:paraId="07656589" w14:textId="69D5E188" w:rsidR="00DE1E49" w:rsidRPr="00DE1E49" w:rsidRDefault="00834918" w:rsidP="00DE1E49">
      <w:pPr>
        <w:rPr>
          <w:sz w:val="24"/>
          <w:szCs w:val="24"/>
        </w:rPr>
      </w:pPr>
      <w:r>
        <w:rPr>
          <w:sz w:val="24"/>
          <w:szCs w:val="24"/>
        </w:rPr>
        <w:t xml:space="preserve">             </w:t>
      </w:r>
      <w:r w:rsidRPr="00834918">
        <w:rPr>
          <w:sz w:val="24"/>
          <w:szCs w:val="24"/>
        </w:rPr>
        <w:t>4.2.1 Aspekte të përgjithshme</w:t>
      </w:r>
    </w:p>
    <w:p w14:paraId="7864DBF0" w14:textId="7C927824" w:rsidR="00DE1E49" w:rsidRDefault="00DE1E49" w:rsidP="00DE1E49">
      <w:pPr>
        <w:rPr>
          <w:sz w:val="24"/>
          <w:szCs w:val="24"/>
        </w:rPr>
      </w:pPr>
      <w:r>
        <w:rPr>
          <w:sz w:val="24"/>
          <w:szCs w:val="24"/>
        </w:rPr>
        <w:t xml:space="preserve">             </w:t>
      </w:r>
      <w:r w:rsidRPr="00DE1E49">
        <w:rPr>
          <w:sz w:val="24"/>
          <w:szCs w:val="24"/>
        </w:rPr>
        <w:t>4.2.2 Hemorragjia kërcënuese për jetën ose hemorragjia në një zonë kritike</w:t>
      </w:r>
    </w:p>
    <w:p w14:paraId="6ADF5AD0" w14:textId="31B22416" w:rsidR="00DE1E49" w:rsidRDefault="00DE1E49" w:rsidP="00834918">
      <w:pPr>
        <w:rPr>
          <w:sz w:val="24"/>
          <w:szCs w:val="24"/>
        </w:rPr>
      </w:pPr>
      <w:r>
        <w:rPr>
          <w:sz w:val="24"/>
          <w:szCs w:val="24"/>
        </w:rPr>
        <w:t xml:space="preserve">             </w:t>
      </w:r>
      <w:r w:rsidRPr="00DE1E49">
        <w:rPr>
          <w:sz w:val="24"/>
          <w:szCs w:val="24"/>
        </w:rPr>
        <w:t>4.2.3 (Ri-)fillimi i antikoagulimit pas hemorragjise ekstrakraniale</w:t>
      </w:r>
    </w:p>
    <w:p w14:paraId="0492C596" w14:textId="77777777" w:rsidR="00DE1E49" w:rsidRDefault="00DE1E49" w:rsidP="00DE1E49">
      <w:pPr>
        <w:rPr>
          <w:sz w:val="24"/>
          <w:szCs w:val="24"/>
        </w:rPr>
      </w:pPr>
      <w:r>
        <w:rPr>
          <w:sz w:val="24"/>
          <w:szCs w:val="24"/>
        </w:rPr>
        <w:t xml:space="preserve">             </w:t>
      </w:r>
      <w:r w:rsidRPr="00DE1E49">
        <w:rPr>
          <w:sz w:val="24"/>
          <w:szCs w:val="24"/>
        </w:rPr>
        <w:t xml:space="preserve">4.2.4 Masat që duhen marrë në konsideratë në rast të një mbidoze (të dyshuar) pa </w:t>
      </w:r>
      <w:r>
        <w:rPr>
          <w:sz w:val="24"/>
          <w:szCs w:val="24"/>
        </w:rPr>
        <w:t xml:space="preserve">   </w:t>
      </w:r>
    </w:p>
    <w:p w14:paraId="7DC98EE9" w14:textId="771B2D2E" w:rsidR="00DE1E49" w:rsidRDefault="00DE1E49" w:rsidP="00DE1E49">
      <w:pPr>
        <w:rPr>
          <w:sz w:val="24"/>
          <w:szCs w:val="24"/>
        </w:rPr>
      </w:pPr>
      <w:r>
        <w:rPr>
          <w:sz w:val="24"/>
          <w:szCs w:val="24"/>
        </w:rPr>
        <w:t xml:space="preserve">             </w:t>
      </w:r>
      <w:r w:rsidRPr="00DE1E49">
        <w:rPr>
          <w:sz w:val="24"/>
          <w:szCs w:val="24"/>
        </w:rPr>
        <w:t>hemorragji ose një test koagulimi që tregon një rrezik të mundshëm hemorragjie.</w:t>
      </w:r>
    </w:p>
    <w:p w14:paraId="68A136DE" w14:textId="56AB7E4A" w:rsidR="00DE1E49" w:rsidRDefault="00DE1E49" w:rsidP="00DE1E49">
      <w:pPr>
        <w:rPr>
          <w:sz w:val="24"/>
          <w:szCs w:val="24"/>
        </w:rPr>
      </w:pPr>
      <w:r>
        <w:rPr>
          <w:sz w:val="24"/>
          <w:szCs w:val="24"/>
        </w:rPr>
        <w:lastRenderedPageBreak/>
        <w:t xml:space="preserve">     4.3 </w:t>
      </w:r>
      <w:r w:rsidRPr="00DE1E49">
        <w:rPr>
          <w:sz w:val="24"/>
          <w:szCs w:val="24"/>
        </w:rPr>
        <w:t>Pacientët që kërkojnë një ndërhyrje kirugjikale urgjente</w:t>
      </w:r>
    </w:p>
    <w:p w14:paraId="4D6D2746" w14:textId="77777777" w:rsidR="00DE1E49" w:rsidRPr="00DE1E49" w:rsidRDefault="00DE1E49" w:rsidP="00DE1E49">
      <w:pPr>
        <w:rPr>
          <w:sz w:val="24"/>
          <w:szCs w:val="24"/>
        </w:rPr>
      </w:pPr>
      <w:r>
        <w:rPr>
          <w:sz w:val="24"/>
          <w:szCs w:val="24"/>
        </w:rPr>
        <w:t xml:space="preserve">     </w:t>
      </w:r>
      <w:r w:rsidRPr="00DE1E49">
        <w:rPr>
          <w:sz w:val="24"/>
          <w:szCs w:val="24"/>
        </w:rPr>
        <w:t>4.4 Pacientët që i nënshtrohen një procedure të planifikuar invazive, kirurgjisë ose ablacionit</w:t>
      </w:r>
    </w:p>
    <w:p w14:paraId="0C18B886" w14:textId="6333F7F1" w:rsidR="00DE1E49" w:rsidRDefault="00DE1E49" w:rsidP="00DE1E49">
      <w:pPr>
        <w:rPr>
          <w:sz w:val="24"/>
          <w:szCs w:val="24"/>
        </w:rPr>
      </w:pPr>
      <w:r>
        <w:rPr>
          <w:sz w:val="24"/>
          <w:szCs w:val="24"/>
        </w:rPr>
        <w:t xml:space="preserve">            </w:t>
      </w:r>
      <w:r w:rsidRPr="00DE1E49">
        <w:rPr>
          <w:sz w:val="24"/>
          <w:szCs w:val="24"/>
        </w:rPr>
        <w:t>4.4.1 Konsiderata të përgjithshme</w:t>
      </w:r>
    </w:p>
    <w:p w14:paraId="5BBBB2B0" w14:textId="7308F693" w:rsidR="00DE1E49" w:rsidRDefault="00DE1E49" w:rsidP="00DE1E49">
      <w:pPr>
        <w:rPr>
          <w:sz w:val="24"/>
          <w:szCs w:val="24"/>
        </w:rPr>
      </w:pPr>
      <w:r>
        <w:rPr>
          <w:sz w:val="24"/>
          <w:szCs w:val="24"/>
        </w:rPr>
        <w:t xml:space="preserve">            4.4.2 </w:t>
      </w:r>
      <w:r w:rsidRPr="00DE1E49">
        <w:rPr>
          <w:sz w:val="24"/>
          <w:szCs w:val="24"/>
        </w:rPr>
        <w:t>Kohët e ndërprerjes bazuar në klasifikimet e rrezikut për hemorragji</w:t>
      </w:r>
    </w:p>
    <w:p w14:paraId="39E86621" w14:textId="24CDE6FA" w:rsidR="002A5134" w:rsidRDefault="002A5134" w:rsidP="00DE1E49">
      <w:pPr>
        <w:rPr>
          <w:sz w:val="24"/>
          <w:szCs w:val="24"/>
        </w:rPr>
      </w:pPr>
      <w:r>
        <w:rPr>
          <w:sz w:val="24"/>
          <w:szCs w:val="24"/>
        </w:rPr>
        <w:t xml:space="preserve">            4.4.3 Bridging (Kalimi)</w:t>
      </w:r>
    </w:p>
    <w:p w14:paraId="0A22DD64" w14:textId="57B128D8" w:rsidR="002A5134" w:rsidRDefault="002A5134" w:rsidP="00DE1E49">
      <w:pPr>
        <w:rPr>
          <w:sz w:val="24"/>
          <w:szCs w:val="24"/>
        </w:rPr>
      </w:pPr>
      <w:r>
        <w:rPr>
          <w:sz w:val="24"/>
          <w:szCs w:val="24"/>
        </w:rPr>
        <w:t xml:space="preserve">            4.4.4 </w:t>
      </w:r>
      <w:r w:rsidRPr="002A5134">
        <w:rPr>
          <w:sz w:val="24"/>
          <w:szCs w:val="24"/>
        </w:rPr>
        <w:t>Rinisja e terapisë NOAC pas një procedure invazive</w:t>
      </w:r>
    </w:p>
    <w:p w14:paraId="38EB2C8E" w14:textId="4F2C7680" w:rsidR="002A5134" w:rsidRPr="002A5134" w:rsidRDefault="002A5134" w:rsidP="002A5134">
      <w:pPr>
        <w:rPr>
          <w:sz w:val="24"/>
          <w:szCs w:val="24"/>
        </w:rPr>
      </w:pPr>
      <w:r>
        <w:rPr>
          <w:sz w:val="24"/>
          <w:szCs w:val="24"/>
        </w:rPr>
        <w:t xml:space="preserve">            </w:t>
      </w:r>
      <w:r w:rsidRPr="002A5134">
        <w:rPr>
          <w:sz w:val="24"/>
          <w:szCs w:val="24"/>
        </w:rPr>
        <w:t>4.4.5 Konsiderata të veçanta për procedurat e ablacionit të fibrilacionit atrial</w:t>
      </w:r>
    </w:p>
    <w:p w14:paraId="4278D25E" w14:textId="7F15273B" w:rsidR="002A5134" w:rsidRDefault="002A5134" w:rsidP="002A5134">
      <w:pPr>
        <w:rPr>
          <w:sz w:val="24"/>
          <w:szCs w:val="24"/>
        </w:rPr>
      </w:pPr>
      <w:r>
        <w:rPr>
          <w:sz w:val="24"/>
          <w:szCs w:val="24"/>
        </w:rPr>
        <w:t xml:space="preserve">            </w:t>
      </w:r>
      <w:r w:rsidRPr="002A5134">
        <w:rPr>
          <w:sz w:val="24"/>
          <w:szCs w:val="24"/>
        </w:rPr>
        <w:t>4.4.6 Konsiderata të veçanta për procedurat e kardiokirurgjisë</w:t>
      </w:r>
    </w:p>
    <w:p w14:paraId="48575920" w14:textId="2EAB176D" w:rsidR="00962BE2" w:rsidRDefault="00962BE2" w:rsidP="00D5629F">
      <w:pPr>
        <w:rPr>
          <w:sz w:val="24"/>
          <w:szCs w:val="24"/>
        </w:rPr>
      </w:pPr>
      <w:r>
        <w:rPr>
          <w:sz w:val="24"/>
          <w:szCs w:val="24"/>
        </w:rPr>
        <w:t xml:space="preserve"> </w:t>
      </w:r>
    </w:p>
    <w:p w14:paraId="74AE8D6E" w14:textId="6774B72F" w:rsidR="001C7DCA" w:rsidRDefault="001C7DCA" w:rsidP="00D5629F">
      <w:pPr>
        <w:rPr>
          <w:sz w:val="24"/>
          <w:szCs w:val="24"/>
        </w:rPr>
      </w:pPr>
    </w:p>
    <w:p w14:paraId="03A47A97" w14:textId="6F4F735A" w:rsidR="001C7DCA" w:rsidRDefault="001C7DCA" w:rsidP="00D5629F">
      <w:pPr>
        <w:rPr>
          <w:sz w:val="24"/>
          <w:szCs w:val="24"/>
        </w:rPr>
      </w:pPr>
    </w:p>
    <w:p w14:paraId="56094219" w14:textId="1F18241E" w:rsidR="001C7DCA" w:rsidRDefault="001C7DCA" w:rsidP="00D5629F">
      <w:pPr>
        <w:rPr>
          <w:sz w:val="24"/>
          <w:szCs w:val="24"/>
        </w:rPr>
      </w:pPr>
    </w:p>
    <w:p w14:paraId="7C2E66D1" w14:textId="7F462324" w:rsidR="001C7DCA" w:rsidRDefault="001C7DCA" w:rsidP="00D5629F">
      <w:pPr>
        <w:rPr>
          <w:sz w:val="24"/>
          <w:szCs w:val="24"/>
        </w:rPr>
      </w:pPr>
    </w:p>
    <w:p w14:paraId="40BF13BD" w14:textId="0DA3BBC9" w:rsidR="001C7DCA" w:rsidRDefault="001C7DCA" w:rsidP="00D5629F">
      <w:pPr>
        <w:rPr>
          <w:sz w:val="24"/>
          <w:szCs w:val="24"/>
        </w:rPr>
      </w:pPr>
    </w:p>
    <w:p w14:paraId="5D71763B" w14:textId="5E946D0D" w:rsidR="001C7DCA" w:rsidRDefault="001C7DCA" w:rsidP="001C7DCA">
      <w:pPr>
        <w:rPr>
          <w:b/>
          <w:sz w:val="28"/>
          <w:szCs w:val="28"/>
        </w:rPr>
      </w:pPr>
    </w:p>
    <w:p w14:paraId="7F2884CE" w14:textId="507BC10E" w:rsidR="009555F3" w:rsidRDefault="009555F3" w:rsidP="001C7DCA">
      <w:pPr>
        <w:rPr>
          <w:b/>
          <w:sz w:val="28"/>
          <w:szCs w:val="28"/>
        </w:rPr>
      </w:pPr>
    </w:p>
    <w:p w14:paraId="36AA176B" w14:textId="36513BD6" w:rsidR="009555F3" w:rsidRDefault="009555F3" w:rsidP="001C7DCA">
      <w:pPr>
        <w:rPr>
          <w:b/>
          <w:sz w:val="28"/>
          <w:szCs w:val="28"/>
        </w:rPr>
      </w:pPr>
    </w:p>
    <w:p w14:paraId="65716405" w14:textId="4A170781" w:rsidR="009555F3" w:rsidRDefault="009555F3" w:rsidP="001C7DCA">
      <w:pPr>
        <w:rPr>
          <w:b/>
          <w:sz w:val="28"/>
          <w:szCs w:val="28"/>
        </w:rPr>
      </w:pPr>
    </w:p>
    <w:p w14:paraId="7087CB15" w14:textId="2486E210" w:rsidR="009555F3" w:rsidRDefault="009555F3" w:rsidP="001C7DCA">
      <w:pPr>
        <w:rPr>
          <w:b/>
          <w:sz w:val="28"/>
          <w:szCs w:val="28"/>
        </w:rPr>
      </w:pPr>
    </w:p>
    <w:p w14:paraId="659B35FC" w14:textId="0E72EAE7" w:rsidR="009555F3" w:rsidRDefault="009555F3" w:rsidP="001C7DCA">
      <w:pPr>
        <w:rPr>
          <w:b/>
          <w:sz w:val="28"/>
          <w:szCs w:val="28"/>
        </w:rPr>
      </w:pPr>
    </w:p>
    <w:p w14:paraId="69AA5809" w14:textId="47005358" w:rsidR="009555F3" w:rsidRDefault="009555F3" w:rsidP="001C7DCA">
      <w:pPr>
        <w:rPr>
          <w:b/>
          <w:sz w:val="28"/>
          <w:szCs w:val="28"/>
        </w:rPr>
      </w:pPr>
    </w:p>
    <w:p w14:paraId="728A3D65" w14:textId="3C623125" w:rsidR="009555F3" w:rsidRDefault="009555F3" w:rsidP="001C7DCA">
      <w:pPr>
        <w:rPr>
          <w:b/>
          <w:sz w:val="28"/>
          <w:szCs w:val="28"/>
        </w:rPr>
      </w:pPr>
    </w:p>
    <w:p w14:paraId="1E04302F" w14:textId="21B94974" w:rsidR="009555F3" w:rsidRDefault="009555F3" w:rsidP="001C7DCA">
      <w:pPr>
        <w:rPr>
          <w:b/>
          <w:sz w:val="28"/>
          <w:szCs w:val="28"/>
        </w:rPr>
      </w:pPr>
    </w:p>
    <w:p w14:paraId="5C439A77" w14:textId="2889B155" w:rsidR="009555F3" w:rsidRDefault="009555F3" w:rsidP="001C7DCA">
      <w:pPr>
        <w:rPr>
          <w:b/>
          <w:sz w:val="28"/>
          <w:szCs w:val="28"/>
        </w:rPr>
      </w:pPr>
    </w:p>
    <w:p w14:paraId="4564C526" w14:textId="45EC1048" w:rsidR="009555F3" w:rsidRDefault="009555F3" w:rsidP="001C7DCA">
      <w:pPr>
        <w:rPr>
          <w:b/>
          <w:sz w:val="28"/>
          <w:szCs w:val="28"/>
        </w:rPr>
      </w:pPr>
    </w:p>
    <w:p w14:paraId="0C396CF5" w14:textId="12159B78" w:rsidR="009555F3" w:rsidRDefault="009555F3" w:rsidP="001C7DCA">
      <w:pPr>
        <w:rPr>
          <w:b/>
          <w:sz w:val="28"/>
          <w:szCs w:val="28"/>
        </w:rPr>
      </w:pPr>
    </w:p>
    <w:p w14:paraId="61FA015D" w14:textId="77777777" w:rsidR="009555F3" w:rsidRDefault="009555F3" w:rsidP="001C7DCA">
      <w:pPr>
        <w:rPr>
          <w:b/>
          <w:sz w:val="28"/>
          <w:szCs w:val="28"/>
        </w:rPr>
      </w:pPr>
    </w:p>
    <w:p w14:paraId="64D1A5AD" w14:textId="77777777" w:rsidR="001C7DCA" w:rsidRDefault="001C7DCA" w:rsidP="001C7DCA">
      <w:pPr>
        <w:rPr>
          <w:b/>
          <w:sz w:val="28"/>
          <w:szCs w:val="28"/>
        </w:rPr>
      </w:pPr>
      <w:r>
        <w:rPr>
          <w:b/>
          <w:sz w:val="28"/>
          <w:szCs w:val="28"/>
        </w:rPr>
        <w:t>Shkurtimet</w:t>
      </w:r>
    </w:p>
    <w:p w14:paraId="59CDBB6F" w14:textId="77777777" w:rsidR="001C7DCA" w:rsidRDefault="001C7DCA" w:rsidP="001C7DCA">
      <w:pPr>
        <w:pStyle w:val="KeinLeerraum"/>
        <w:rPr>
          <w:lang w:val="en-GB"/>
        </w:rPr>
      </w:pPr>
      <w:r w:rsidRPr="0043159E">
        <w:rPr>
          <w:lang w:val="en-GB"/>
        </w:rPr>
        <w:t>ACC</w:t>
      </w:r>
      <w:r>
        <w:rPr>
          <w:lang w:val="en-GB"/>
        </w:rPr>
        <w:t xml:space="preserve"> - Kolegji Amerikan i Kardiologjisë (ang.</w:t>
      </w:r>
      <w:r w:rsidRPr="0043159E">
        <w:rPr>
          <w:lang w:val="en-GB"/>
        </w:rPr>
        <w:t xml:space="preserve"> American College of Cardiology); </w:t>
      </w:r>
    </w:p>
    <w:p w14:paraId="449C6625" w14:textId="77777777" w:rsidR="001C7DCA" w:rsidRDefault="001C7DCA" w:rsidP="001C7DCA">
      <w:pPr>
        <w:pStyle w:val="KeinLeerraum"/>
        <w:rPr>
          <w:lang w:val="en-GB"/>
        </w:rPr>
      </w:pPr>
      <w:r>
        <w:rPr>
          <w:lang w:val="en-GB"/>
        </w:rPr>
        <w:t>ACT – koha e koagulimit e aktivizuar (ang. a</w:t>
      </w:r>
      <w:r w:rsidRPr="00BB2980">
        <w:rPr>
          <w:lang w:val="en-GB"/>
        </w:rPr>
        <w:t>ctivated clotting time</w:t>
      </w:r>
      <w:r>
        <w:rPr>
          <w:lang w:val="en-GB"/>
        </w:rPr>
        <w:t>)</w:t>
      </w:r>
    </w:p>
    <w:p w14:paraId="3F076498" w14:textId="77777777" w:rsidR="001C7DCA" w:rsidRDefault="001C7DCA" w:rsidP="001C7DCA">
      <w:pPr>
        <w:pStyle w:val="KeinLeerraum"/>
        <w:rPr>
          <w:lang w:val="en-GB"/>
        </w:rPr>
      </w:pPr>
      <w:r w:rsidRPr="00357B63">
        <w:rPr>
          <w:lang w:val="en-GB"/>
        </w:rPr>
        <w:t>AHA</w:t>
      </w:r>
      <w:r>
        <w:rPr>
          <w:lang w:val="en-GB"/>
        </w:rPr>
        <w:t xml:space="preserve"> - </w:t>
      </w:r>
      <w:r w:rsidRPr="00357B63">
        <w:rPr>
          <w:lang w:val="en-GB"/>
        </w:rPr>
        <w:t>Shoqata Amerikane e Zemrës</w:t>
      </w:r>
      <w:r>
        <w:rPr>
          <w:lang w:val="en-GB"/>
        </w:rPr>
        <w:t xml:space="preserve"> (ang. </w:t>
      </w:r>
      <w:r w:rsidRPr="00222BC1">
        <w:rPr>
          <w:lang w:val="en-GB"/>
        </w:rPr>
        <w:t>American Heart Association</w:t>
      </w:r>
      <w:r>
        <w:rPr>
          <w:lang w:val="en-GB"/>
        </w:rPr>
        <w:t>)</w:t>
      </w:r>
    </w:p>
    <w:p w14:paraId="19AAFC2E" w14:textId="77777777" w:rsidR="001C7DCA" w:rsidRDefault="001C7DCA" w:rsidP="001C7DCA">
      <w:pPr>
        <w:pStyle w:val="KeinLeerraum"/>
        <w:rPr>
          <w:lang w:val="en-GB"/>
        </w:rPr>
      </w:pPr>
      <w:r w:rsidRPr="00960761">
        <w:rPr>
          <w:lang w:val="en-GB"/>
        </w:rPr>
        <w:t>ARN</w:t>
      </w:r>
      <w:r>
        <w:rPr>
          <w:lang w:val="en-GB"/>
        </w:rPr>
        <w:t xml:space="preserve"> - </w:t>
      </w:r>
      <w:r w:rsidRPr="00D76BDA">
        <w:rPr>
          <w:lang w:val="en-GB"/>
        </w:rPr>
        <w:t xml:space="preserve">Nefropatia e lidhur me antikoagulimin </w:t>
      </w:r>
      <w:r>
        <w:rPr>
          <w:lang w:val="en-GB"/>
        </w:rPr>
        <w:t xml:space="preserve">(ang. </w:t>
      </w:r>
      <w:r w:rsidRPr="00960761">
        <w:rPr>
          <w:lang w:val="en-GB"/>
        </w:rPr>
        <w:t>Anticoagulation Related Nephropathy</w:t>
      </w:r>
      <w:r>
        <w:rPr>
          <w:lang w:val="en-GB"/>
        </w:rPr>
        <w:t>)</w:t>
      </w:r>
    </w:p>
    <w:p w14:paraId="4F9925D6" w14:textId="77777777" w:rsidR="001C7DCA" w:rsidRDefault="001C7DCA" w:rsidP="001C7DCA">
      <w:pPr>
        <w:pStyle w:val="KeinLeerraum"/>
        <w:rPr>
          <w:lang w:val="en-GB"/>
        </w:rPr>
      </w:pPr>
      <w:r w:rsidRPr="0043159E">
        <w:rPr>
          <w:lang w:val="en-GB"/>
        </w:rPr>
        <w:t>ARR</w:t>
      </w:r>
      <w:r>
        <w:rPr>
          <w:lang w:val="en-GB"/>
        </w:rPr>
        <w:t xml:space="preserve"> - Reduktimi i Riskut Absolut (ang. Absolute Risk Reduction)</w:t>
      </w:r>
    </w:p>
    <w:p w14:paraId="414D5444" w14:textId="77777777" w:rsidR="001C7DCA" w:rsidRDefault="001C7DCA" w:rsidP="001C7DCA">
      <w:pPr>
        <w:pStyle w:val="KeinLeerraum"/>
        <w:rPr>
          <w:lang w:val="en-GB"/>
        </w:rPr>
      </w:pPr>
      <w:r>
        <w:rPr>
          <w:lang w:val="en-GB"/>
        </w:rPr>
        <w:t xml:space="preserve">ASA - Acid acetilsalicilik </w:t>
      </w:r>
    </w:p>
    <w:p w14:paraId="4EA68028" w14:textId="77777777" w:rsidR="001C7DCA" w:rsidRDefault="001C7DCA" w:rsidP="001C7DCA">
      <w:pPr>
        <w:pStyle w:val="KeinLeerraum"/>
        <w:rPr>
          <w:lang w:val="en-GB"/>
        </w:rPr>
      </w:pPr>
      <w:r>
        <w:rPr>
          <w:lang w:val="en-GB"/>
        </w:rPr>
        <w:t>BID - Dy here ne dite (lat. Bis In Die)</w:t>
      </w:r>
    </w:p>
    <w:p w14:paraId="648F54FF" w14:textId="77777777" w:rsidR="001C7DCA" w:rsidRPr="0043159E" w:rsidRDefault="001C7DCA" w:rsidP="001C7DCA">
      <w:pPr>
        <w:pStyle w:val="KeinLeerraum"/>
        <w:rPr>
          <w:lang w:val="en-GB"/>
        </w:rPr>
      </w:pPr>
      <w:r w:rsidRPr="0043159E">
        <w:rPr>
          <w:lang w:val="en-GB"/>
        </w:rPr>
        <w:t xml:space="preserve">DAPT </w:t>
      </w:r>
      <w:r>
        <w:rPr>
          <w:lang w:val="en-GB"/>
        </w:rPr>
        <w:t xml:space="preserve">- </w:t>
      </w:r>
      <w:r w:rsidRPr="0043159E">
        <w:rPr>
          <w:lang w:val="en-GB"/>
        </w:rPr>
        <w:t>Terapi me dy antiagregantë (ang. Dual Antiplatelet Therapy)</w:t>
      </w:r>
    </w:p>
    <w:p w14:paraId="69BCAC00" w14:textId="77777777" w:rsidR="001C7DCA" w:rsidRDefault="001C7DCA" w:rsidP="001C7DCA">
      <w:pPr>
        <w:pStyle w:val="KeinLeerraum"/>
        <w:rPr>
          <w:lang w:val="en-GB"/>
        </w:rPr>
      </w:pPr>
      <w:r w:rsidRPr="0043159E">
        <w:rPr>
          <w:lang w:val="en-GB"/>
        </w:rPr>
        <w:t>DM</w:t>
      </w:r>
      <w:r>
        <w:rPr>
          <w:lang w:val="en-GB"/>
        </w:rPr>
        <w:t xml:space="preserve"> - </w:t>
      </w:r>
      <w:r w:rsidRPr="0043159E">
        <w:rPr>
          <w:lang w:val="en-GB"/>
        </w:rPr>
        <w:t>Diabetes Mellitus</w:t>
      </w:r>
    </w:p>
    <w:p w14:paraId="061F7563" w14:textId="77777777" w:rsidR="001C7DCA" w:rsidRPr="00244C7A" w:rsidRDefault="001C7DCA" w:rsidP="001C7DCA">
      <w:pPr>
        <w:pStyle w:val="KeinLeerraum"/>
        <w:rPr>
          <w:lang w:val="en-GB"/>
        </w:rPr>
      </w:pPr>
      <w:r w:rsidRPr="00244C7A">
        <w:rPr>
          <w:lang w:val="en-GB"/>
        </w:rPr>
        <w:t>CHADS</w:t>
      </w:r>
      <w:r w:rsidRPr="00D76BDA">
        <w:rPr>
          <w:vertAlign w:val="subscript"/>
          <w:lang w:val="en-GB"/>
        </w:rPr>
        <w:t>2</w:t>
      </w:r>
      <w:r w:rsidRPr="00244C7A">
        <w:rPr>
          <w:lang w:val="en-GB"/>
        </w:rPr>
        <w:t xml:space="preserve"> </w:t>
      </w:r>
      <w:r>
        <w:rPr>
          <w:lang w:val="en-GB"/>
        </w:rPr>
        <w:t>-</w:t>
      </w:r>
      <w:r w:rsidRPr="00244C7A">
        <w:rPr>
          <w:lang w:val="en-GB"/>
        </w:rPr>
        <w:t>Sistem i mëparshëm pikëzimi i përdorur për të vlerësuar ri</w:t>
      </w:r>
      <w:r>
        <w:rPr>
          <w:lang w:val="en-GB"/>
        </w:rPr>
        <w:t>s</w:t>
      </w:r>
      <w:r w:rsidRPr="00244C7A">
        <w:rPr>
          <w:lang w:val="en-GB"/>
        </w:rPr>
        <w:t>kun për insult në pacientët me fibrilacion</w:t>
      </w:r>
      <w:r>
        <w:rPr>
          <w:lang w:val="en-GB"/>
        </w:rPr>
        <w:t xml:space="preserve"> </w:t>
      </w:r>
      <w:r w:rsidRPr="00244C7A">
        <w:rPr>
          <w:lang w:val="en-GB"/>
        </w:rPr>
        <w:t>atrial</w:t>
      </w:r>
    </w:p>
    <w:p w14:paraId="7FE71454" w14:textId="77777777" w:rsidR="001C7DCA" w:rsidRDefault="001C7DCA" w:rsidP="001C7DCA">
      <w:pPr>
        <w:pStyle w:val="KeinLeerraum"/>
        <w:rPr>
          <w:lang w:val="en-GB"/>
        </w:rPr>
      </w:pPr>
      <w:r w:rsidRPr="00244C7A">
        <w:rPr>
          <w:lang w:val="en-GB"/>
        </w:rPr>
        <w:t>CHA</w:t>
      </w:r>
      <w:r w:rsidRPr="00D76BDA">
        <w:rPr>
          <w:vertAlign w:val="subscript"/>
          <w:lang w:val="en-GB"/>
        </w:rPr>
        <w:t>2</w:t>
      </w:r>
      <w:r w:rsidRPr="00244C7A">
        <w:rPr>
          <w:lang w:val="en-GB"/>
        </w:rPr>
        <w:t>DS</w:t>
      </w:r>
      <w:r w:rsidRPr="00D76BDA">
        <w:rPr>
          <w:vertAlign w:val="subscript"/>
          <w:lang w:val="en-GB"/>
        </w:rPr>
        <w:t>2</w:t>
      </w:r>
      <w:r>
        <w:rPr>
          <w:lang w:val="en-GB"/>
        </w:rPr>
        <w:t>-</w:t>
      </w:r>
      <w:r w:rsidRPr="00244C7A">
        <w:rPr>
          <w:lang w:val="en-GB"/>
        </w:rPr>
        <w:t>VASC Sistem pikëzimi i përdorur për të vlerësuar riskun për insult në pacientët me fibrilacion atrial</w:t>
      </w:r>
    </w:p>
    <w:p w14:paraId="5F03D1A6" w14:textId="77777777" w:rsidR="001C7DCA" w:rsidRDefault="001C7DCA" w:rsidP="001C7DCA">
      <w:pPr>
        <w:pStyle w:val="KeinLeerraum"/>
        <w:rPr>
          <w:lang w:val="en-GB"/>
        </w:rPr>
      </w:pPr>
      <w:r w:rsidRPr="00357B63">
        <w:rPr>
          <w:lang w:val="en-GB"/>
        </w:rPr>
        <w:t>CI</w:t>
      </w:r>
      <w:r>
        <w:rPr>
          <w:lang w:val="en-GB"/>
        </w:rPr>
        <w:t xml:space="preserve"> - Confidence interval</w:t>
      </w:r>
    </w:p>
    <w:p w14:paraId="308EC651" w14:textId="77777777" w:rsidR="001C7DCA" w:rsidRDefault="001C7DCA" w:rsidP="001C7DCA">
      <w:pPr>
        <w:pStyle w:val="KeinLeerraum"/>
        <w:rPr>
          <w:lang w:val="en-GB"/>
        </w:rPr>
      </w:pPr>
      <w:r w:rsidRPr="00357B63">
        <w:rPr>
          <w:lang w:val="en-GB"/>
        </w:rPr>
        <w:t>CHF</w:t>
      </w:r>
      <w:r>
        <w:rPr>
          <w:lang w:val="en-GB"/>
        </w:rPr>
        <w:t xml:space="preserve"> - Congestive Heart Failure</w:t>
      </w:r>
    </w:p>
    <w:p w14:paraId="705AD250" w14:textId="77777777" w:rsidR="001C7DCA" w:rsidRDefault="001C7DCA" w:rsidP="001C7DCA">
      <w:pPr>
        <w:pStyle w:val="KeinLeerraum"/>
        <w:rPr>
          <w:lang w:val="en-GB"/>
        </w:rPr>
      </w:pPr>
      <w:r w:rsidRPr="0043159E">
        <w:rPr>
          <w:lang w:val="en-GB"/>
        </w:rPr>
        <w:t>CrCl</w:t>
      </w:r>
      <w:r>
        <w:rPr>
          <w:lang w:val="en-GB"/>
        </w:rPr>
        <w:t xml:space="preserve"> - Creatinine Clirens</w:t>
      </w:r>
    </w:p>
    <w:p w14:paraId="67432C70" w14:textId="77777777" w:rsidR="001C7DCA" w:rsidRDefault="001C7DCA" w:rsidP="001C7DCA">
      <w:pPr>
        <w:pStyle w:val="KeinLeerraum"/>
        <w:rPr>
          <w:lang w:val="en-GB"/>
        </w:rPr>
      </w:pPr>
      <w:r>
        <w:rPr>
          <w:lang w:val="en-GB"/>
        </w:rPr>
        <w:t xml:space="preserve">CT - Computed Tomography </w:t>
      </w:r>
    </w:p>
    <w:p w14:paraId="170CBBC0" w14:textId="77777777" w:rsidR="001C7DCA" w:rsidRPr="00960761" w:rsidRDefault="001C7DCA" w:rsidP="001C7DCA">
      <w:pPr>
        <w:pStyle w:val="KeinLeerraum"/>
        <w:rPr>
          <w:lang w:val="en-GB"/>
        </w:rPr>
      </w:pPr>
      <w:r w:rsidRPr="00960761">
        <w:rPr>
          <w:lang w:val="en-GB"/>
        </w:rPr>
        <w:t>CV</w:t>
      </w:r>
      <w:r>
        <w:rPr>
          <w:lang w:val="en-GB"/>
        </w:rPr>
        <w:t xml:space="preserve"> - kardiovaskulare (ang. Kardiovaskulare)</w:t>
      </w:r>
    </w:p>
    <w:p w14:paraId="5E8B8047" w14:textId="77777777" w:rsidR="001C7DCA" w:rsidRDefault="001C7DCA" w:rsidP="001C7DCA">
      <w:pPr>
        <w:pStyle w:val="KeinLeerraum"/>
        <w:rPr>
          <w:lang w:val="en-GB"/>
        </w:rPr>
      </w:pPr>
      <w:r w:rsidRPr="00357B63">
        <w:rPr>
          <w:lang w:val="en-GB"/>
        </w:rPr>
        <w:t xml:space="preserve">C2HEST [CAD – Coronary Artery disease /COPD- Sëmundje të Arterieve Koronare  - Chronic obstructive pulmonary disease – Sëmundje pulmonare obstructive kronike] (1 pikë secili), Hipertension (1 pikë), Të moshuar (&gt;_75 vjeç, 2 pikë), Insuficiencë kardiake sistolike  (2 pikë) dhe sëmundja e tiroides (hipertiroidizmi, 1 pikë] </w:t>
      </w:r>
    </w:p>
    <w:p w14:paraId="28C5013B" w14:textId="77777777" w:rsidR="001C7DCA" w:rsidRDefault="001C7DCA" w:rsidP="001C7DCA">
      <w:pPr>
        <w:pStyle w:val="KeinLeerraum"/>
        <w:rPr>
          <w:lang w:val="en-GB"/>
        </w:rPr>
      </w:pPr>
      <w:r>
        <w:rPr>
          <w:lang w:val="en-GB"/>
        </w:rPr>
        <w:t>dTT/ecarin – koha e trombines se holluar/ koha koaguluese e ekarines (ang.diluted thrombin time/ ecarin cloting time)</w:t>
      </w:r>
      <w:r w:rsidRPr="00357B63">
        <w:rPr>
          <w:lang w:val="en-GB"/>
        </w:rPr>
        <w:t xml:space="preserve"> </w:t>
      </w:r>
    </w:p>
    <w:p w14:paraId="28CCFB51" w14:textId="77777777" w:rsidR="001C7DCA" w:rsidRDefault="001C7DCA" w:rsidP="001C7DCA">
      <w:pPr>
        <w:pStyle w:val="KeinLeerraum"/>
        <w:rPr>
          <w:lang w:val="en-GB"/>
        </w:rPr>
      </w:pPr>
      <w:r>
        <w:rPr>
          <w:lang w:val="en-GB"/>
        </w:rPr>
        <w:t xml:space="preserve">EACTS - </w:t>
      </w:r>
      <w:r w:rsidRPr="00E14E53">
        <w:rPr>
          <w:lang w:val="en-GB"/>
        </w:rPr>
        <w:t>Shoqat</w:t>
      </w:r>
      <w:r>
        <w:rPr>
          <w:lang w:val="en-GB"/>
        </w:rPr>
        <w:t>a</w:t>
      </w:r>
      <w:r w:rsidRPr="00E14E53">
        <w:rPr>
          <w:lang w:val="en-GB"/>
        </w:rPr>
        <w:t xml:space="preserve"> Evropiane për Kirurgjinë Kardio-Thorakale (</w:t>
      </w:r>
      <w:r>
        <w:rPr>
          <w:lang w:val="en-GB"/>
        </w:rPr>
        <w:t xml:space="preserve">ang. </w:t>
      </w:r>
      <w:r w:rsidRPr="00E14E53">
        <w:rPr>
          <w:lang w:val="en-GB"/>
        </w:rPr>
        <w:t>E</w:t>
      </w:r>
      <w:r>
        <w:rPr>
          <w:lang w:val="en-GB"/>
        </w:rPr>
        <w:t>uropean Assotiation for Cardio-Thoracic Surgery</w:t>
      </w:r>
      <w:r w:rsidRPr="00E14E53">
        <w:rPr>
          <w:lang w:val="en-GB"/>
        </w:rPr>
        <w:t>)</w:t>
      </w:r>
    </w:p>
    <w:p w14:paraId="5AD225D2" w14:textId="77777777" w:rsidR="001C7DCA" w:rsidRDefault="001C7DCA" w:rsidP="001C7DCA">
      <w:pPr>
        <w:pStyle w:val="KeinLeerraum"/>
        <w:rPr>
          <w:lang w:val="en-GB"/>
        </w:rPr>
      </w:pPr>
      <w:r w:rsidRPr="0043159E">
        <w:rPr>
          <w:lang w:val="en-GB"/>
        </w:rPr>
        <w:t xml:space="preserve">EKG </w:t>
      </w:r>
      <w:r>
        <w:rPr>
          <w:lang w:val="en-GB"/>
        </w:rPr>
        <w:t xml:space="preserve">- </w:t>
      </w:r>
      <w:r w:rsidRPr="0043159E">
        <w:rPr>
          <w:lang w:val="en-GB"/>
        </w:rPr>
        <w:t>Elektrokardiogramë</w:t>
      </w:r>
    </w:p>
    <w:p w14:paraId="4B01C97F" w14:textId="77777777" w:rsidR="001C7DCA" w:rsidRPr="0043159E" w:rsidRDefault="001C7DCA" w:rsidP="001C7DCA">
      <w:pPr>
        <w:pStyle w:val="KeinLeerraum"/>
        <w:rPr>
          <w:lang w:val="en-GB"/>
        </w:rPr>
      </w:pPr>
      <w:r w:rsidRPr="0043159E">
        <w:rPr>
          <w:lang w:val="en-GB"/>
        </w:rPr>
        <w:t>ES</w:t>
      </w:r>
      <w:r>
        <w:rPr>
          <w:lang w:val="en-GB"/>
        </w:rPr>
        <w:t xml:space="preserve">  - Emboli Sistemike</w:t>
      </w:r>
    </w:p>
    <w:p w14:paraId="1E9BEFAB" w14:textId="77777777" w:rsidR="001C7DCA" w:rsidRDefault="001C7DCA" w:rsidP="001C7DCA">
      <w:pPr>
        <w:pStyle w:val="KeinLeerraum"/>
        <w:rPr>
          <w:lang w:val="en-GB"/>
        </w:rPr>
      </w:pPr>
      <w:r w:rsidRPr="0043159E">
        <w:rPr>
          <w:lang w:val="en-GB"/>
        </w:rPr>
        <w:t xml:space="preserve">ESC </w:t>
      </w:r>
      <w:r>
        <w:rPr>
          <w:lang w:val="en-GB"/>
        </w:rPr>
        <w:t xml:space="preserve">- </w:t>
      </w:r>
      <w:r w:rsidRPr="0043159E">
        <w:rPr>
          <w:lang w:val="en-GB"/>
        </w:rPr>
        <w:t>Shoqata Evropiane e Kardiologjisë (ang. European Society of Cardiology</w:t>
      </w:r>
      <w:r>
        <w:rPr>
          <w:lang w:val="en-GB"/>
        </w:rPr>
        <w:t>)</w:t>
      </w:r>
    </w:p>
    <w:p w14:paraId="5F46477D" w14:textId="77777777" w:rsidR="001C7DCA" w:rsidRDefault="001C7DCA" w:rsidP="001C7DCA">
      <w:pPr>
        <w:pStyle w:val="KeinLeerraum"/>
        <w:rPr>
          <w:lang w:val="en-GB"/>
        </w:rPr>
      </w:pPr>
      <w:r>
        <w:rPr>
          <w:lang w:val="en-GB"/>
        </w:rPr>
        <w:t>FA - Fibrilacioni Atrial</w:t>
      </w:r>
    </w:p>
    <w:p w14:paraId="2631747B" w14:textId="77777777" w:rsidR="001C7DCA" w:rsidRDefault="001C7DCA" w:rsidP="001C7DCA">
      <w:pPr>
        <w:pStyle w:val="KeinLeerraum"/>
        <w:rPr>
          <w:lang w:val="en-GB"/>
        </w:rPr>
      </w:pPr>
      <w:r w:rsidRPr="00357B63">
        <w:rPr>
          <w:lang w:val="en-GB"/>
        </w:rPr>
        <w:t>FAJV</w:t>
      </w:r>
      <w:r>
        <w:rPr>
          <w:lang w:val="en-GB"/>
        </w:rPr>
        <w:t xml:space="preserve"> – Fibrilacioni atrial jo-valvular</w:t>
      </w:r>
    </w:p>
    <w:p w14:paraId="524E6601" w14:textId="77777777" w:rsidR="001C7DCA" w:rsidRDefault="001C7DCA" w:rsidP="001C7DCA">
      <w:pPr>
        <w:pStyle w:val="KeinLeerraum"/>
        <w:rPr>
          <w:lang w:val="en-GB"/>
        </w:rPr>
      </w:pPr>
      <w:r>
        <w:rPr>
          <w:lang w:val="en-GB"/>
        </w:rPr>
        <w:t>FAV -Fibrilacioni atrial valvular</w:t>
      </w:r>
    </w:p>
    <w:p w14:paraId="24AC0D9B" w14:textId="77777777" w:rsidR="001C7DCA" w:rsidRDefault="001C7DCA" w:rsidP="001C7DCA">
      <w:pPr>
        <w:pStyle w:val="KeinLeerraum"/>
        <w:rPr>
          <w:lang w:val="en-GB"/>
        </w:rPr>
      </w:pPr>
      <w:r>
        <w:rPr>
          <w:lang w:val="en-GB"/>
        </w:rPr>
        <w:t xml:space="preserve">FFP – Plazem e ngrire rishtas (ang. Fresh Frozen Plasm) </w:t>
      </w:r>
    </w:p>
    <w:p w14:paraId="7792B398" w14:textId="77777777" w:rsidR="001C7DCA" w:rsidRDefault="001C7DCA" w:rsidP="001C7DCA">
      <w:pPr>
        <w:pStyle w:val="KeinLeerraum"/>
        <w:rPr>
          <w:lang w:val="en-GB"/>
        </w:rPr>
      </w:pPr>
      <w:r w:rsidRPr="00960761">
        <w:rPr>
          <w:lang w:val="en-GB"/>
        </w:rPr>
        <w:t>GFR</w:t>
      </w:r>
      <w:r>
        <w:rPr>
          <w:lang w:val="en-GB"/>
        </w:rPr>
        <w:t xml:space="preserve"> - shkalla e filtrimit glomerular (Glomerular Filtration Rate)</w:t>
      </w:r>
    </w:p>
    <w:p w14:paraId="5200C893" w14:textId="77777777" w:rsidR="001C7DCA" w:rsidRDefault="001C7DCA" w:rsidP="001C7DCA">
      <w:pPr>
        <w:pStyle w:val="KeinLeerraum"/>
        <w:rPr>
          <w:lang w:val="en-GB"/>
        </w:rPr>
      </w:pPr>
      <w:r>
        <w:rPr>
          <w:lang w:val="en-GB"/>
        </w:rPr>
        <w:t>GI - Gastrointestinal</w:t>
      </w:r>
    </w:p>
    <w:p w14:paraId="031BA113" w14:textId="77777777" w:rsidR="001C7DCA" w:rsidRDefault="001C7DCA" w:rsidP="001C7DCA">
      <w:pPr>
        <w:pStyle w:val="KeinLeerraum"/>
        <w:rPr>
          <w:lang w:val="en-GB"/>
        </w:rPr>
      </w:pPr>
      <w:r w:rsidRPr="0043159E">
        <w:rPr>
          <w:lang w:val="en-GB"/>
        </w:rPr>
        <w:t>HAS – BLED Sistem pikëzimi i përdorur për të vlerësuar rikun për hemorragji në pacientët kandidatë për terapi me antikoagulantë</w:t>
      </w:r>
    </w:p>
    <w:p w14:paraId="55FEF812" w14:textId="77777777" w:rsidR="001C7DCA" w:rsidRDefault="001C7DCA" w:rsidP="001C7DCA">
      <w:pPr>
        <w:pStyle w:val="KeinLeerraum"/>
        <w:rPr>
          <w:lang w:val="en-GB"/>
        </w:rPr>
      </w:pPr>
      <w:r w:rsidRPr="00960761">
        <w:rPr>
          <w:lang w:val="en-GB"/>
        </w:rPr>
        <w:t xml:space="preserve">Hb </w:t>
      </w:r>
      <w:r>
        <w:rPr>
          <w:lang w:val="en-GB"/>
        </w:rPr>
        <w:t>– hemoglobina</w:t>
      </w:r>
    </w:p>
    <w:p w14:paraId="317F9DCA" w14:textId="77777777" w:rsidR="001C7DCA" w:rsidRPr="00960761" w:rsidRDefault="001C7DCA" w:rsidP="001C7DCA">
      <w:pPr>
        <w:pStyle w:val="KeinLeerraum"/>
        <w:rPr>
          <w:lang w:val="en-GB"/>
        </w:rPr>
      </w:pPr>
      <w:r w:rsidRPr="00A05211">
        <w:rPr>
          <w:lang w:val="en-GB"/>
        </w:rPr>
        <w:t>HfpEF</w:t>
      </w:r>
      <w:r>
        <w:rPr>
          <w:lang w:val="en-GB"/>
        </w:rPr>
        <w:t xml:space="preserve"> – insuficience kardiake me fraksion te ruajtur injektimi (ang. Heart Failure with Preserve Injection Fraction)</w:t>
      </w:r>
    </w:p>
    <w:p w14:paraId="07D5114C" w14:textId="77777777" w:rsidR="001C7DCA" w:rsidRDefault="001C7DCA" w:rsidP="001C7DCA">
      <w:pPr>
        <w:pStyle w:val="KeinLeerraum"/>
        <w:rPr>
          <w:lang w:val="en-GB"/>
        </w:rPr>
      </w:pPr>
      <w:r w:rsidRPr="00960761">
        <w:rPr>
          <w:lang w:val="en-GB"/>
        </w:rPr>
        <w:t>HR</w:t>
      </w:r>
      <w:r>
        <w:rPr>
          <w:lang w:val="en-GB"/>
        </w:rPr>
        <w:t xml:space="preserve"> - Hazard ratio</w:t>
      </w:r>
    </w:p>
    <w:p w14:paraId="14054BF5" w14:textId="77777777" w:rsidR="001C7DCA" w:rsidRPr="0043159E" w:rsidRDefault="001C7DCA" w:rsidP="001C7DCA">
      <w:pPr>
        <w:pStyle w:val="KeinLeerraum"/>
        <w:rPr>
          <w:lang w:val="en-GB"/>
        </w:rPr>
      </w:pPr>
      <w:r w:rsidRPr="0043159E">
        <w:rPr>
          <w:lang w:val="en-GB"/>
        </w:rPr>
        <w:t>HRS</w:t>
      </w:r>
      <w:r>
        <w:rPr>
          <w:lang w:val="en-GB"/>
        </w:rPr>
        <w:t xml:space="preserve"> -</w:t>
      </w:r>
      <w:r w:rsidRPr="00170DED">
        <w:t xml:space="preserve"> </w:t>
      </w:r>
      <w:r w:rsidRPr="00170DED">
        <w:rPr>
          <w:lang w:val="en-GB"/>
        </w:rPr>
        <w:t>Shoqata e Ritmit të Zemrës</w:t>
      </w:r>
      <w:r>
        <w:rPr>
          <w:lang w:val="en-GB"/>
        </w:rPr>
        <w:t xml:space="preserve"> (ang. </w:t>
      </w:r>
      <w:r w:rsidRPr="0043159E">
        <w:rPr>
          <w:lang w:val="en-GB"/>
        </w:rPr>
        <w:t>Heart Rhythm Society).</w:t>
      </w:r>
    </w:p>
    <w:p w14:paraId="2A3FA416" w14:textId="77777777" w:rsidR="001C7DCA" w:rsidRDefault="001C7DCA" w:rsidP="001C7DCA">
      <w:pPr>
        <w:pStyle w:val="KeinLeerraum"/>
        <w:rPr>
          <w:lang w:val="en-GB"/>
        </w:rPr>
      </w:pPr>
      <w:r w:rsidRPr="0043159E">
        <w:rPr>
          <w:lang w:val="en-GB"/>
        </w:rPr>
        <w:t xml:space="preserve">HTA </w:t>
      </w:r>
      <w:r>
        <w:rPr>
          <w:lang w:val="en-GB"/>
        </w:rPr>
        <w:t xml:space="preserve">- </w:t>
      </w:r>
      <w:r w:rsidRPr="0043159E">
        <w:rPr>
          <w:lang w:val="en-GB"/>
        </w:rPr>
        <w:t>Hipertension Arterial</w:t>
      </w:r>
    </w:p>
    <w:p w14:paraId="6686AEAA" w14:textId="77777777" w:rsidR="001C7DCA" w:rsidRPr="00960761" w:rsidRDefault="001C7DCA" w:rsidP="001C7DCA">
      <w:pPr>
        <w:pStyle w:val="KeinLeerraum"/>
        <w:rPr>
          <w:lang w:val="en-GB"/>
        </w:rPr>
      </w:pPr>
      <w:r w:rsidRPr="00960761">
        <w:rPr>
          <w:lang w:val="en-GB"/>
        </w:rPr>
        <w:lastRenderedPageBreak/>
        <w:t>ISTH</w:t>
      </w:r>
      <w:r>
        <w:rPr>
          <w:lang w:val="en-GB"/>
        </w:rPr>
        <w:t xml:space="preserve"> – Shoqata Nderkombetare e Trombozes dhe e Hemostazes (ang.International Society of Thrombosis and Heamostasis) </w:t>
      </w:r>
    </w:p>
    <w:p w14:paraId="57E7A552" w14:textId="77777777" w:rsidR="001C7DCA" w:rsidRDefault="001C7DCA" w:rsidP="001C7DCA">
      <w:pPr>
        <w:pStyle w:val="KeinLeerraum"/>
        <w:rPr>
          <w:lang w:val="en-GB"/>
        </w:rPr>
      </w:pPr>
      <w:r w:rsidRPr="0043159E">
        <w:rPr>
          <w:lang w:val="en-GB"/>
        </w:rPr>
        <w:t xml:space="preserve">ICH </w:t>
      </w:r>
      <w:r>
        <w:rPr>
          <w:lang w:val="en-GB"/>
        </w:rPr>
        <w:t xml:space="preserve">- </w:t>
      </w:r>
      <w:r w:rsidRPr="0043159E">
        <w:rPr>
          <w:lang w:val="en-GB"/>
        </w:rPr>
        <w:t>hemorragji intrakraniale</w:t>
      </w:r>
      <w:r>
        <w:rPr>
          <w:lang w:val="en-GB"/>
        </w:rPr>
        <w:t xml:space="preserve"> (ang. </w:t>
      </w:r>
      <w:r w:rsidRPr="00170DED">
        <w:rPr>
          <w:lang w:val="en-GB"/>
        </w:rPr>
        <w:t>intracranial hemorrhage</w:t>
      </w:r>
      <w:r>
        <w:rPr>
          <w:lang w:val="en-GB"/>
        </w:rPr>
        <w:t>)</w:t>
      </w:r>
    </w:p>
    <w:p w14:paraId="6CBE1467" w14:textId="77777777" w:rsidR="001C7DCA" w:rsidRDefault="001C7DCA" w:rsidP="001C7DCA">
      <w:pPr>
        <w:pStyle w:val="KeinLeerraum"/>
        <w:rPr>
          <w:lang w:val="en-GB"/>
        </w:rPr>
      </w:pPr>
      <w:r w:rsidRPr="00357B63">
        <w:rPr>
          <w:lang w:val="en-GB"/>
        </w:rPr>
        <w:t>ID</w:t>
      </w:r>
      <w:r>
        <w:rPr>
          <w:lang w:val="en-GB"/>
        </w:rPr>
        <w:t xml:space="preserve">F - </w:t>
      </w:r>
      <w:r w:rsidRPr="00357B63">
        <w:rPr>
          <w:lang w:val="en-GB"/>
        </w:rPr>
        <w:t>Federa</w:t>
      </w:r>
      <w:r>
        <w:rPr>
          <w:lang w:val="en-GB"/>
        </w:rPr>
        <w:t>ta</w:t>
      </w:r>
      <w:r w:rsidRPr="00357B63">
        <w:rPr>
          <w:lang w:val="en-GB"/>
        </w:rPr>
        <w:t xml:space="preserve"> Ndërkombëtare </w:t>
      </w:r>
      <w:r>
        <w:rPr>
          <w:lang w:val="en-GB"/>
        </w:rPr>
        <w:t>e</w:t>
      </w:r>
      <w:r w:rsidRPr="00357B63">
        <w:rPr>
          <w:lang w:val="en-GB"/>
        </w:rPr>
        <w:t xml:space="preserve"> Diabetit</w:t>
      </w:r>
      <w:r>
        <w:rPr>
          <w:lang w:val="en-GB"/>
        </w:rPr>
        <w:t xml:space="preserve"> (ang. International Diabetes Federation)</w:t>
      </w:r>
    </w:p>
    <w:p w14:paraId="5321968C" w14:textId="77777777" w:rsidR="001C7DCA" w:rsidRDefault="001C7DCA" w:rsidP="001C7DCA">
      <w:pPr>
        <w:pStyle w:val="KeinLeerraum"/>
        <w:rPr>
          <w:lang w:val="en-GB"/>
        </w:rPr>
      </w:pPr>
      <w:r w:rsidRPr="00357B63">
        <w:rPr>
          <w:lang w:val="en-GB"/>
        </w:rPr>
        <w:t xml:space="preserve">IKK </w:t>
      </w:r>
      <w:r>
        <w:rPr>
          <w:lang w:val="en-GB"/>
        </w:rPr>
        <w:t xml:space="preserve">- </w:t>
      </w:r>
      <w:r w:rsidRPr="00357B63">
        <w:rPr>
          <w:lang w:val="en-GB"/>
        </w:rPr>
        <w:t>Insuficiencë Kardiake Kongjestive</w:t>
      </w:r>
      <w:r>
        <w:rPr>
          <w:lang w:val="en-GB"/>
        </w:rPr>
        <w:t xml:space="preserve"> (ang. Congestive Heart Failure (CHF)) </w:t>
      </w:r>
    </w:p>
    <w:p w14:paraId="4A995EB0" w14:textId="77777777" w:rsidR="001C7DCA" w:rsidRPr="0043159E" w:rsidRDefault="001C7DCA" w:rsidP="001C7DCA">
      <w:pPr>
        <w:pStyle w:val="KeinLeerraum"/>
        <w:rPr>
          <w:lang w:val="en-GB"/>
        </w:rPr>
      </w:pPr>
      <w:r w:rsidRPr="0043159E">
        <w:rPr>
          <w:lang w:val="en-GB"/>
        </w:rPr>
        <w:t xml:space="preserve">IM </w:t>
      </w:r>
      <w:r>
        <w:rPr>
          <w:lang w:val="en-GB"/>
        </w:rPr>
        <w:t xml:space="preserve">- </w:t>
      </w:r>
      <w:r w:rsidRPr="0043159E">
        <w:rPr>
          <w:lang w:val="en-GB"/>
        </w:rPr>
        <w:t>Infarkt Miokardi</w:t>
      </w:r>
    </w:p>
    <w:p w14:paraId="78D25A01" w14:textId="77777777" w:rsidR="001C7DCA" w:rsidRDefault="001C7DCA" w:rsidP="001C7DCA">
      <w:pPr>
        <w:pStyle w:val="KeinLeerraum"/>
        <w:rPr>
          <w:lang w:val="en-GB"/>
        </w:rPr>
      </w:pPr>
      <w:r w:rsidRPr="0043159E">
        <w:rPr>
          <w:lang w:val="en-GB"/>
        </w:rPr>
        <w:t>INR</w:t>
      </w:r>
      <w:r>
        <w:rPr>
          <w:lang w:val="en-GB"/>
        </w:rPr>
        <w:t xml:space="preserve"> - </w:t>
      </w:r>
      <w:r w:rsidRPr="0043159E">
        <w:rPr>
          <w:lang w:val="en-GB"/>
        </w:rPr>
        <w:t>ang. International Normalized Ratio</w:t>
      </w:r>
    </w:p>
    <w:p w14:paraId="38D3D0EC" w14:textId="77777777" w:rsidR="001C7DCA" w:rsidRDefault="001C7DCA" w:rsidP="001C7DCA">
      <w:pPr>
        <w:pStyle w:val="KeinLeerraum"/>
        <w:rPr>
          <w:lang w:val="en-GB"/>
        </w:rPr>
      </w:pPr>
      <w:r>
        <w:rPr>
          <w:lang w:val="en-GB"/>
        </w:rPr>
        <w:t>LAA - Apendiksi i Atriumit te Majte (ang. Left Atrium Apendix)</w:t>
      </w:r>
    </w:p>
    <w:p w14:paraId="3102D19D" w14:textId="77777777" w:rsidR="001C7DCA" w:rsidRDefault="001C7DCA" w:rsidP="001C7DCA">
      <w:pPr>
        <w:pStyle w:val="KeinLeerraum"/>
        <w:rPr>
          <w:lang w:val="en-GB"/>
        </w:rPr>
      </w:pPr>
      <w:r>
        <w:rPr>
          <w:lang w:val="en-GB"/>
        </w:rPr>
        <w:t>LMWH – helarinat me peshe molekulare te ulet (ang. Low Molecular Weight Heparins)</w:t>
      </w:r>
    </w:p>
    <w:p w14:paraId="543052BE" w14:textId="77777777" w:rsidR="001C7DCA" w:rsidRDefault="001C7DCA" w:rsidP="001C7DCA">
      <w:pPr>
        <w:pStyle w:val="KeinLeerraum"/>
        <w:rPr>
          <w:lang w:val="en-GB"/>
        </w:rPr>
      </w:pPr>
      <w:r w:rsidRPr="0043159E">
        <w:rPr>
          <w:lang w:val="en-GB"/>
        </w:rPr>
        <w:t xml:space="preserve">MACE </w:t>
      </w:r>
      <w:r>
        <w:rPr>
          <w:lang w:val="en-GB"/>
        </w:rPr>
        <w:t>- ngjarje</w:t>
      </w:r>
      <w:r w:rsidRPr="0043159E">
        <w:rPr>
          <w:lang w:val="en-GB"/>
        </w:rPr>
        <w:t xml:space="preserve"> të padëshiruara madhore kardiake (ang. Major Adverse Cardiac Event)</w:t>
      </w:r>
    </w:p>
    <w:p w14:paraId="5CE333A4" w14:textId="77777777" w:rsidR="001C7DCA" w:rsidRPr="0043159E" w:rsidRDefault="001C7DCA" w:rsidP="001C7DCA">
      <w:pPr>
        <w:pStyle w:val="KeinLeerraum"/>
        <w:rPr>
          <w:lang w:val="en-GB"/>
        </w:rPr>
      </w:pPr>
      <w:r>
        <w:rPr>
          <w:lang w:val="en-GB"/>
        </w:rPr>
        <w:t>MRI - Imazheria me ane te rezonances magnetike (ang. Magnetic Resonance Imagaing)</w:t>
      </w:r>
    </w:p>
    <w:p w14:paraId="1340F4A5" w14:textId="77777777" w:rsidR="001C7DCA" w:rsidRPr="0043159E" w:rsidRDefault="001C7DCA" w:rsidP="001C7DCA">
      <w:pPr>
        <w:pStyle w:val="KeinLeerraum"/>
        <w:rPr>
          <w:lang w:val="en-GB"/>
        </w:rPr>
      </w:pPr>
      <w:r w:rsidRPr="0043159E">
        <w:rPr>
          <w:lang w:val="en-GB"/>
        </w:rPr>
        <w:t xml:space="preserve">NIHSS </w:t>
      </w:r>
      <w:r>
        <w:rPr>
          <w:lang w:val="en-GB"/>
        </w:rPr>
        <w:t xml:space="preserve">- </w:t>
      </w:r>
      <w:r w:rsidRPr="0043159E">
        <w:rPr>
          <w:lang w:val="en-GB"/>
        </w:rPr>
        <w:t>Sistem pikëzimi i përdorur për kuantifikimin e ashpërsisë së insultit (ang. National Institutes of</w:t>
      </w:r>
    </w:p>
    <w:p w14:paraId="3DF61E28" w14:textId="77777777" w:rsidR="001C7DCA" w:rsidRPr="0043159E" w:rsidRDefault="001C7DCA" w:rsidP="001C7DCA">
      <w:pPr>
        <w:pStyle w:val="KeinLeerraum"/>
        <w:rPr>
          <w:lang w:val="en-GB"/>
        </w:rPr>
      </w:pPr>
      <w:r w:rsidRPr="0043159E">
        <w:rPr>
          <w:lang w:val="en-GB"/>
        </w:rPr>
        <w:t>Health Stroke Scale)</w:t>
      </w:r>
    </w:p>
    <w:p w14:paraId="25EFB18F" w14:textId="77777777" w:rsidR="001C7DCA" w:rsidRDefault="001C7DCA" w:rsidP="001C7DCA">
      <w:pPr>
        <w:pStyle w:val="KeinLeerraum"/>
        <w:rPr>
          <w:lang w:val="en-GB"/>
        </w:rPr>
      </w:pPr>
      <w:r w:rsidRPr="0043159E">
        <w:rPr>
          <w:lang w:val="en-GB"/>
        </w:rPr>
        <w:t xml:space="preserve">NOAC </w:t>
      </w:r>
      <w:r>
        <w:rPr>
          <w:lang w:val="en-GB"/>
        </w:rPr>
        <w:t xml:space="preserve">- </w:t>
      </w:r>
      <w:r w:rsidRPr="0043159E">
        <w:rPr>
          <w:lang w:val="en-GB"/>
        </w:rPr>
        <w:t>Antikoagulantët e rinj oralë (ang. Ne</w:t>
      </w:r>
      <w:r>
        <w:rPr>
          <w:lang w:val="en-GB"/>
        </w:rPr>
        <w:t>ë</w:t>
      </w:r>
      <w:r w:rsidRPr="0043159E">
        <w:rPr>
          <w:lang w:val="en-GB"/>
        </w:rPr>
        <w:t xml:space="preserve"> Oral Anticoagulants) </w:t>
      </w:r>
      <w:r>
        <w:rPr>
          <w:lang w:val="en-GB"/>
        </w:rPr>
        <w:t>ose antikoagulantet orale jo antagonistë të vitamines K</w:t>
      </w:r>
      <w:r w:rsidRPr="0043159E">
        <w:rPr>
          <w:lang w:val="en-GB"/>
        </w:rPr>
        <w:t xml:space="preserve"> (</w:t>
      </w:r>
      <w:r>
        <w:rPr>
          <w:lang w:val="en-GB"/>
        </w:rPr>
        <w:t xml:space="preserve">ang. </w:t>
      </w:r>
      <w:r w:rsidRPr="0043159E">
        <w:rPr>
          <w:lang w:val="en-GB"/>
        </w:rPr>
        <w:t>NOAC – Non-vitamin K antagonist oral anticoagulants)</w:t>
      </w:r>
    </w:p>
    <w:p w14:paraId="777B8A4C" w14:textId="77777777" w:rsidR="001C7DCA" w:rsidRPr="0043159E" w:rsidRDefault="001C7DCA" w:rsidP="001C7DCA">
      <w:pPr>
        <w:pStyle w:val="KeinLeerraum"/>
        <w:rPr>
          <w:lang w:val="en-GB"/>
        </w:rPr>
      </w:pPr>
      <w:r>
        <w:rPr>
          <w:lang w:val="en-GB"/>
        </w:rPr>
        <w:t>NSAID – antiinflamatoret josteroidike (ang. Non Steroidal AntiInflamatory Drugs)</w:t>
      </w:r>
    </w:p>
    <w:p w14:paraId="59756D29" w14:textId="77777777" w:rsidR="001C7DCA" w:rsidRDefault="001C7DCA" w:rsidP="001C7DCA">
      <w:pPr>
        <w:pStyle w:val="KeinLeerraum"/>
        <w:rPr>
          <w:lang w:val="en-GB"/>
        </w:rPr>
      </w:pPr>
      <w:r w:rsidRPr="0043159E">
        <w:rPr>
          <w:lang w:val="en-GB"/>
        </w:rPr>
        <w:t xml:space="preserve">NYHA </w:t>
      </w:r>
      <w:r>
        <w:rPr>
          <w:lang w:val="en-GB"/>
        </w:rPr>
        <w:t xml:space="preserve">- </w:t>
      </w:r>
      <w:r w:rsidRPr="0043159E">
        <w:rPr>
          <w:lang w:val="en-GB"/>
        </w:rPr>
        <w:t>Klasifikim për të vlerësuar ashpërsinë e simptomave të insuficiencës kardiake (ang. New York Heart Association)</w:t>
      </w:r>
    </w:p>
    <w:p w14:paraId="08E998F0" w14:textId="77777777" w:rsidR="001C7DCA" w:rsidRDefault="001C7DCA" w:rsidP="001C7DCA">
      <w:pPr>
        <w:pStyle w:val="KeinLeerraum"/>
        <w:rPr>
          <w:lang w:val="en-GB"/>
        </w:rPr>
      </w:pPr>
      <w:r>
        <w:rPr>
          <w:lang w:val="en-GB"/>
        </w:rPr>
        <w:t>OTC – barna pa recete (ang. Over the Counter)</w:t>
      </w:r>
    </w:p>
    <w:p w14:paraId="049CD6E7" w14:textId="77777777" w:rsidR="001C7DCA" w:rsidRDefault="001C7DCA" w:rsidP="001C7DCA">
      <w:pPr>
        <w:pStyle w:val="KeinLeerraum"/>
        <w:rPr>
          <w:lang w:val="en-GB"/>
        </w:rPr>
      </w:pPr>
      <w:r w:rsidRPr="0043159E">
        <w:rPr>
          <w:lang w:val="en-GB"/>
        </w:rPr>
        <w:t>OAC</w:t>
      </w:r>
      <w:r>
        <w:rPr>
          <w:lang w:val="en-GB"/>
        </w:rPr>
        <w:t xml:space="preserve"> -</w:t>
      </w:r>
      <w:r w:rsidRPr="0043159E">
        <w:rPr>
          <w:lang w:val="en-GB"/>
        </w:rPr>
        <w:t xml:space="preserve"> Antikoagulant oral (ang. Oral AntiCoagulant)</w:t>
      </w:r>
    </w:p>
    <w:p w14:paraId="0FED19BD" w14:textId="77777777" w:rsidR="001C7DCA" w:rsidRDefault="001C7DCA" w:rsidP="001C7DCA">
      <w:pPr>
        <w:pStyle w:val="KeinLeerraum"/>
        <w:rPr>
          <w:lang w:val="en-GB"/>
        </w:rPr>
      </w:pPr>
      <w:r>
        <w:rPr>
          <w:lang w:val="en-GB"/>
        </w:rPr>
        <w:t>PCC – kompleksi i protrombinazes komplekse (ang. Protrombinase Complex Concentrate)</w:t>
      </w:r>
    </w:p>
    <w:p w14:paraId="16011585" w14:textId="77777777" w:rsidR="001C7DCA" w:rsidRDefault="001C7DCA" w:rsidP="001C7DCA">
      <w:pPr>
        <w:pStyle w:val="KeinLeerraum"/>
        <w:rPr>
          <w:lang w:val="en-GB"/>
        </w:rPr>
      </w:pPr>
      <w:r w:rsidRPr="00452AF1">
        <w:rPr>
          <w:lang w:val="en-GB"/>
        </w:rPr>
        <w:t>PCC – kompleksi i protrombinaz</w:t>
      </w:r>
      <w:r>
        <w:rPr>
          <w:lang w:val="en-GB"/>
        </w:rPr>
        <w:t>e</w:t>
      </w:r>
      <w:r w:rsidRPr="00452AF1">
        <w:rPr>
          <w:lang w:val="en-GB"/>
        </w:rPr>
        <w:t>s komplekse</w:t>
      </w:r>
      <w:r>
        <w:rPr>
          <w:lang w:val="en-GB"/>
        </w:rPr>
        <w:t xml:space="preserve"> i aktivizuar</w:t>
      </w:r>
      <w:r w:rsidRPr="00452AF1">
        <w:rPr>
          <w:lang w:val="en-GB"/>
        </w:rPr>
        <w:t xml:space="preserve"> (ang. Protrombinase Complex Concentrate</w:t>
      </w:r>
      <w:r>
        <w:rPr>
          <w:lang w:val="en-GB"/>
        </w:rPr>
        <w:t xml:space="preserve"> activated</w:t>
      </w:r>
      <w:r w:rsidRPr="00452AF1">
        <w:rPr>
          <w:lang w:val="en-GB"/>
        </w:rPr>
        <w:t>)</w:t>
      </w:r>
    </w:p>
    <w:p w14:paraId="42A34916" w14:textId="77777777" w:rsidR="001C7DCA" w:rsidRDefault="001C7DCA" w:rsidP="001C7DCA">
      <w:pPr>
        <w:pStyle w:val="KeinLeerraum"/>
        <w:rPr>
          <w:lang w:val="en-GB"/>
        </w:rPr>
      </w:pPr>
      <w:r w:rsidRPr="0043159E">
        <w:rPr>
          <w:lang w:val="en-GB"/>
        </w:rPr>
        <w:t xml:space="preserve">PCI </w:t>
      </w:r>
      <w:r>
        <w:rPr>
          <w:lang w:val="en-GB"/>
        </w:rPr>
        <w:t xml:space="preserve">- </w:t>
      </w:r>
      <w:r w:rsidRPr="00F052FB">
        <w:rPr>
          <w:lang w:val="en-GB"/>
        </w:rPr>
        <w:t xml:space="preserve">ndërhyrjes koronare </w:t>
      </w:r>
      <w:r>
        <w:rPr>
          <w:lang w:val="en-GB"/>
        </w:rPr>
        <w:t>perkutane (</w:t>
      </w:r>
      <w:r w:rsidRPr="0043159E">
        <w:rPr>
          <w:lang w:val="en-GB"/>
        </w:rPr>
        <w:t>ang.</w:t>
      </w:r>
      <w:r>
        <w:rPr>
          <w:lang w:val="en-GB"/>
        </w:rPr>
        <w:t xml:space="preserve"> </w:t>
      </w:r>
      <w:r w:rsidRPr="0043159E">
        <w:rPr>
          <w:lang w:val="en-GB"/>
        </w:rPr>
        <w:t>Percutaneous Coronary Intervention</w:t>
      </w:r>
      <w:r>
        <w:rPr>
          <w:lang w:val="en-GB"/>
        </w:rPr>
        <w:t>)</w:t>
      </w:r>
      <w:r w:rsidRPr="0043159E">
        <w:rPr>
          <w:lang w:val="en-GB"/>
        </w:rPr>
        <w:t xml:space="preserve">  </w:t>
      </w:r>
    </w:p>
    <w:p w14:paraId="0D37AC8F" w14:textId="77777777" w:rsidR="001C7DCA" w:rsidRDefault="001C7DCA" w:rsidP="001C7DCA">
      <w:pPr>
        <w:pStyle w:val="KeinLeerraum"/>
        <w:rPr>
          <w:lang w:val="en-GB"/>
        </w:rPr>
      </w:pPr>
      <w:r>
        <w:rPr>
          <w:lang w:val="en-GB"/>
        </w:rPr>
        <w:t>PT – koha e protrombines (prothrombine time)</w:t>
      </w:r>
    </w:p>
    <w:p w14:paraId="2BE39C14" w14:textId="77777777" w:rsidR="001C7DCA" w:rsidRDefault="001C7DCA" w:rsidP="001C7DCA">
      <w:pPr>
        <w:pStyle w:val="KeinLeerraum"/>
        <w:rPr>
          <w:lang w:val="en-GB"/>
        </w:rPr>
      </w:pPr>
      <w:r>
        <w:rPr>
          <w:lang w:val="en-GB"/>
        </w:rPr>
        <w:t xml:space="preserve">aPTT - </w:t>
      </w:r>
      <w:r w:rsidRPr="00BB2980">
        <w:rPr>
          <w:lang w:val="en-GB"/>
        </w:rPr>
        <w:t>koha e protrombines</w:t>
      </w:r>
      <w:r>
        <w:rPr>
          <w:lang w:val="en-GB"/>
        </w:rPr>
        <w:t xml:space="preserve"> e aktivizuar</w:t>
      </w:r>
      <w:r w:rsidRPr="00BB2980">
        <w:rPr>
          <w:lang w:val="en-GB"/>
        </w:rPr>
        <w:t xml:space="preserve"> (</w:t>
      </w:r>
      <w:r>
        <w:rPr>
          <w:lang w:val="en-GB"/>
        </w:rPr>
        <w:t xml:space="preserve">activated </w:t>
      </w:r>
      <w:r w:rsidRPr="00BB2980">
        <w:rPr>
          <w:lang w:val="en-GB"/>
        </w:rPr>
        <w:t>prothrombine time</w:t>
      </w:r>
      <w:r>
        <w:rPr>
          <w:lang w:val="en-GB"/>
        </w:rPr>
        <w:t>)</w:t>
      </w:r>
    </w:p>
    <w:p w14:paraId="55E77299" w14:textId="77777777" w:rsidR="001C7DCA" w:rsidRDefault="001C7DCA" w:rsidP="001C7DCA">
      <w:pPr>
        <w:pStyle w:val="KeinLeerraum"/>
        <w:rPr>
          <w:lang w:val="en-GB"/>
        </w:rPr>
      </w:pPr>
      <w:r>
        <w:rPr>
          <w:lang w:val="en-GB"/>
        </w:rPr>
        <w:t>PY - paciente vite (ang. stat. patient year)</w:t>
      </w:r>
    </w:p>
    <w:p w14:paraId="2B242E6D" w14:textId="77777777" w:rsidR="001C7DCA" w:rsidRDefault="001C7DCA" w:rsidP="001C7DCA">
      <w:pPr>
        <w:pStyle w:val="KeinLeerraum"/>
        <w:rPr>
          <w:lang w:val="en-GB"/>
        </w:rPr>
      </w:pPr>
      <w:r>
        <w:rPr>
          <w:lang w:val="en-GB"/>
        </w:rPr>
        <w:t xml:space="preserve">Qd - nje here ne dite (lat. </w:t>
      </w:r>
      <w:r w:rsidRPr="00F052FB">
        <w:rPr>
          <w:lang w:val="en-GB"/>
        </w:rPr>
        <w:t>quaque die</w:t>
      </w:r>
      <w:r>
        <w:rPr>
          <w:lang w:val="en-GB"/>
        </w:rPr>
        <w:t>)</w:t>
      </w:r>
    </w:p>
    <w:p w14:paraId="2615D315" w14:textId="77777777" w:rsidR="001C7DCA" w:rsidRDefault="001C7DCA" w:rsidP="001C7DCA">
      <w:pPr>
        <w:pStyle w:val="KeinLeerraum"/>
        <w:rPr>
          <w:lang w:val="en-GB"/>
        </w:rPr>
      </w:pPr>
      <w:r>
        <w:rPr>
          <w:lang w:val="en-GB"/>
        </w:rPr>
        <w:t>RCT- Studime klinike rastesore (ang. Randomised Clinical Trials)</w:t>
      </w:r>
    </w:p>
    <w:p w14:paraId="2E4F8B0C" w14:textId="77777777" w:rsidR="001C7DCA" w:rsidRDefault="001C7DCA" w:rsidP="001C7DCA">
      <w:pPr>
        <w:pStyle w:val="KeinLeerraum"/>
        <w:rPr>
          <w:lang w:val="en-GB"/>
        </w:rPr>
      </w:pPr>
      <w:r>
        <w:rPr>
          <w:lang w:val="en-GB"/>
        </w:rPr>
        <w:t>RRR - Reduktimi i Riskut Relativ (ang. Relative Risk Reduction)</w:t>
      </w:r>
    </w:p>
    <w:p w14:paraId="3C960A99" w14:textId="77777777" w:rsidR="001C7DCA" w:rsidRPr="0043159E" w:rsidRDefault="001C7DCA" w:rsidP="001C7DCA">
      <w:pPr>
        <w:pStyle w:val="KeinLeerraum"/>
        <w:rPr>
          <w:lang w:val="en-GB"/>
        </w:rPr>
      </w:pPr>
      <w:r w:rsidRPr="0043159E">
        <w:rPr>
          <w:lang w:val="en-GB"/>
        </w:rPr>
        <w:t>SAK</w:t>
      </w:r>
      <w:r>
        <w:rPr>
          <w:lang w:val="en-GB"/>
        </w:rPr>
        <w:t xml:space="preserve"> - </w:t>
      </w:r>
      <w:r w:rsidRPr="0043159E">
        <w:rPr>
          <w:lang w:val="en-GB"/>
        </w:rPr>
        <w:t>Sëmundje të arterieve koronare</w:t>
      </w:r>
    </w:p>
    <w:p w14:paraId="6321751C" w14:textId="77777777" w:rsidR="001C7DCA" w:rsidRPr="0043159E" w:rsidRDefault="001C7DCA" w:rsidP="001C7DCA">
      <w:pPr>
        <w:pStyle w:val="KeinLeerraum"/>
        <w:rPr>
          <w:lang w:val="en-GB"/>
        </w:rPr>
      </w:pPr>
      <w:r>
        <w:rPr>
          <w:lang w:val="en-GB"/>
        </w:rPr>
        <w:t>SNQ - Sistemi Nervor Qendror</w:t>
      </w:r>
    </w:p>
    <w:p w14:paraId="159691BC" w14:textId="77777777" w:rsidR="001C7DCA" w:rsidRPr="0043159E" w:rsidRDefault="001C7DCA" w:rsidP="001C7DCA">
      <w:pPr>
        <w:pStyle w:val="KeinLeerraum"/>
        <w:rPr>
          <w:lang w:val="en-GB"/>
        </w:rPr>
      </w:pPr>
      <w:r w:rsidRPr="0043159E">
        <w:rPr>
          <w:lang w:val="en-GB"/>
        </w:rPr>
        <w:t xml:space="preserve">SRK </w:t>
      </w:r>
      <w:r>
        <w:rPr>
          <w:lang w:val="en-GB"/>
        </w:rPr>
        <w:t>- S</w:t>
      </w:r>
      <w:r w:rsidRPr="0043159E">
        <w:rPr>
          <w:lang w:val="en-GB"/>
        </w:rPr>
        <w:t>ëmundje Renale Kronike</w:t>
      </w:r>
    </w:p>
    <w:p w14:paraId="4C61959D" w14:textId="77777777" w:rsidR="001C7DCA" w:rsidRDefault="001C7DCA" w:rsidP="001C7DCA">
      <w:pPr>
        <w:pStyle w:val="KeinLeerraum"/>
        <w:rPr>
          <w:lang w:val="en-GB"/>
        </w:rPr>
      </w:pPr>
      <w:r w:rsidRPr="0043159E">
        <w:rPr>
          <w:lang w:val="en-GB"/>
        </w:rPr>
        <w:t>STEMI</w:t>
      </w:r>
      <w:r>
        <w:rPr>
          <w:lang w:val="en-GB"/>
        </w:rPr>
        <w:t xml:space="preserve"> -</w:t>
      </w:r>
      <w:r w:rsidRPr="0043159E">
        <w:rPr>
          <w:lang w:val="en-GB"/>
        </w:rPr>
        <w:t xml:space="preserve"> </w:t>
      </w:r>
      <w:r>
        <w:rPr>
          <w:lang w:val="en-GB"/>
        </w:rPr>
        <w:t>i</w:t>
      </w:r>
      <w:r w:rsidRPr="0043159E">
        <w:rPr>
          <w:lang w:val="en-GB"/>
        </w:rPr>
        <w:t>nfarkti i miokardit me ngritje të segmentit ST</w:t>
      </w:r>
    </w:p>
    <w:p w14:paraId="56B58A57" w14:textId="77777777" w:rsidR="001C7DCA" w:rsidRDefault="001C7DCA" w:rsidP="001C7DCA">
      <w:pPr>
        <w:pStyle w:val="KeinLeerraum"/>
        <w:rPr>
          <w:lang w:val="en-GB"/>
        </w:rPr>
      </w:pPr>
      <w:r>
        <w:rPr>
          <w:lang w:val="en-GB"/>
        </w:rPr>
        <w:t xml:space="preserve">TAVI – </w:t>
      </w:r>
      <w:r w:rsidRPr="00A05211">
        <w:rPr>
          <w:lang w:val="en-GB"/>
        </w:rPr>
        <w:t>implantimi</w:t>
      </w:r>
      <w:r>
        <w:rPr>
          <w:lang w:val="en-GB"/>
        </w:rPr>
        <w:t xml:space="preserve"> i </w:t>
      </w:r>
      <w:r w:rsidRPr="00A05211">
        <w:rPr>
          <w:lang w:val="en-GB"/>
        </w:rPr>
        <w:t>valvulës aortale</w:t>
      </w:r>
      <w:r>
        <w:rPr>
          <w:lang w:val="en-GB"/>
        </w:rPr>
        <w:t xml:space="preserve"> me</w:t>
      </w:r>
      <w:r w:rsidRPr="00A05211">
        <w:rPr>
          <w:lang w:val="en-GB"/>
        </w:rPr>
        <w:t xml:space="preserve"> transkateter (</w:t>
      </w:r>
      <w:r>
        <w:rPr>
          <w:lang w:val="en-GB"/>
        </w:rPr>
        <w:t>ang. Transcatheter Aortic Valve Implantation</w:t>
      </w:r>
      <w:r w:rsidRPr="00A05211">
        <w:rPr>
          <w:lang w:val="en-GB"/>
        </w:rPr>
        <w:t>),</w:t>
      </w:r>
    </w:p>
    <w:p w14:paraId="0D891170" w14:textId="77777777" w:rsidR="001C7DCA" w:rsidRDefault="001C7DCA" w:rsidP="001C7DCA">
      <w:pPr>
        <w:pStyle w:val="KeinLeerraum"/>
        <w:rPr>
          <w:lang w:val="en-GB"/>
        </w:rPr>
      </w:pPr>
      <w:r w:rsidRPr="0043159E">
        <w:rPr>
          <w:lang w:val="en-GB"/>
        </w:rPr>
        <w:t xml:space="preserve">TEE </w:t>
      </w:r>
      <w:r>
        <w:rPr>
          <w:lang w:val="en-GB"/>
        </w:rPr>
        <w:t>– ekokardiogarfi transezofageale (</w:t>
      </w:r>
      <w:r w:rsidRPr="0043159E">
        <w:rPr>
          <w:lang w:val="en-GB"/>
        </w:rPr>
        <w:t>ang.</w:t>
      </w:r>
      <w:r>
        <w:rPr>
          <w:lang w:val="en-GB"/>
        </w:rPr>
        <w:t xml:space="preserve"> </w:t>
      </w:r>
      <w:r w:rsidRPr="0043159E">
        <w:rPr>
          <w:lang w:val="en-GB"/>
        </w:rPr>
        <w:t>TransEsophageal Echocardiography</w:t>
      </w:r>
      <w:r>
        <w:rPr>
          <w:lang w:val="en-GB"/>
        </w:rPr>
        <w:t>)</w:t>
      </w:r>
    </w:p>
    <w:p w14:paraId="5E6EA364" w14:textId="77777777" w:rsidR="001C7DCA" w:rsidRDefault="001C7DCA" w:rsidP="001C7DCA">
      <w:pPr>
        <w:pStyle w:val="KeinLeerraum"/>
        <w:rPr>
          <w:lang w:val="en-GB"/>
        </w:rPr>
      </w:pPr>
      <w:r w:rsidRPr="00357B63">
        <w:rPr>
          <w:lang w:val="en-GB"/>
        </w:rPr>
        <w:t>TIA</w:t>
      </w:r>
      <w:r>
        <w:rPr>
          <w:lang w:val="en-GB"/>
        </w:rPr>
        <w:t xml:space="preserve"> - atak ishemik tranzitor (ang. Transitient Ischemic Atack)</w:t>
      </w:r>
    </w:p>
    <w:p w14:paraId="557F2BE3" w14:textId="77777777" w:rsidR="001C7DCA" w:rsidRDefault="001C7DCA" w:rsidP="001C7DCA">
      <w:pPr>
        <w:pStyle w:val="KeinLeerraum"/>
        <w:rPr>
          <w:lang w:val="en-GB"/>
        </w:rPr>
      </w:pPr>
      <w:r>
        <w:rPr>
          <w:lang w:val="en-GB"/>
        </w:rPr>
        <w:t xml:space="preserve">TIMI - </w:t>
      </w:r>
      <w:r w:rsidRPr="00B5343F">
        <w:rPr>
          <w:lang w:val="en-GB"/>
        </w:rPr>
        <w:t>Tromboliz</w:t>
      </w:r>
      <w:r>
        <w:rPr>
          <w:lang w:val="en-GB"/>
        </w:rPr>
        <w:t xml:space="preserve">a </w:t>
      </w:r>
      <w:r w:rsidRPr="00B5343F">
        <w:rPr>
          <w:lang w:val="en-GB"/>
        </w:rPr>
        <w:t>në Infarkt Miokardi (</w:t>
      </w:r>
      <w:r>
        <w:rPr>
          <w:lang w:val="en-GB"/>
        </w:rPr>
        <w:t>ang. Thrombolisis in Miocardial Infarction)</w:t>
      </w:r>
    </w:p>
    <w:p w14:paraId="0AC38746" w14:textId="77777777" w:rsidR="001C7DCA" w:rsidRDefault="001C7DCA" w:rsidP="001C7DCA">
      <w:pPr>
        <w:pStyle w:val="KeinLeerraum"/>
        <w:rPr>
          <w:lang w:val="en-GB"/>
        </w:rPr>
      </w:pPr>
      <w:r>
        <w:rPr>
          <w:lang w:val="en-GB"/>
        </w:rPr>
        <w:t xml:space="preserve">TSP - </w:t>
      </w:r>
      <w:r w:rsidRPr="00E14E53">
        <w:rPr>
          <w:lang w:val="en-GB"/>
        </w:rPr>
        <w:t>punksionit transseptal (</w:t>
      </w:r>
      <w:r>
        <w:rPr>
          <w:lang w:val="en-GB"/>
        </w:rPr>
        <w:t>ang. Transseptal punction)</w:t>
      </w:r>
    </w:p>
    <w:p w14:paraId="0A2939D0" w14:textId="77777777" w:rsidR="001C7DCA" w:rsidRDefault="001C7DCA" w:rsidP="001C7DCA">
      <w:pPr>
        <w:pStyle w:val="KeinLeerraum"/>
        <w:rPr>
          <w:lang w:val="en-GB"/>
        </w:rPr>
      </w:pPr>
      <w:r>
        <w:rPr>
          <w:lang w:val="en-GB"/>
        </w:rPr>
        <w:t>TT – koha e trombines (ang. thrombine time)</w:t>
      </w:r>
    </w:p>
    <w:p w14:paraId="6A9B8892" w14:textId="77777777" w:rsidR="001C7DCA" w:rsidRDefault="001C7DCA" w:rsidP="001C7DCA">
      <w:pPr>
        <w:pStyle w:val="KeinLeerraum"/>
        <w:rPr>
          <w:lang w:val="en-GB"/>
        </w:rPr>
      </w:pPr>
      <w:r w:rsidRPr="0043159E">
        <w:rPr>
          <w:lang w:val="en-GB"/>
        </w:rPr>
        <w:t xml:space="preserve">TTE </w:t>
      </w:r>
      <w:r>
        <w:rPr>
          <w:lang w:val="en-GB"/>
        </w:rPr>
        <w:t xml:space="preserve">- </w:t>
      </w:r>
      <w:r w:rsidRPr="00074229">
        <w:rPr>
          <w:lang w:val="en-GB"/>
        </w:rPr>
        <w:t xml:space="preserve">ekokardiograma transtorakale </w:t>
      </w:r>
      <w:r>
        <w:rPr>
          <w:lang w:val="en-GB"/>
        </w:rPr>
        <w:t xml:space="preserve">(ang. </w:t>
      </w:r>
      <w:r w:rsidRPr="0043159E">
        <w:rPr>
          <w:lang w:val="en-GB"/>
        </w:rPr>
        <w:t>TransThoracic Echocardiogram</w:t>
      </w:r>
      <w:r>
        <w:rPr>
          <w:lang w:val="en-GB"/>
        </w:rPr>
        <w:t>)</w:t>
      </w:r>
    </w:p>
    <w:p w14:paraId="6BD34917" w14:textId="77777777" w:rsidR="001C7DCA" w:rsidRDefault="001C7DCA" w:rsidP="001C7DCA">
      <w:pPr>
        <w:pStyle w:val="KeinLeerraum"/>
        <w:rPr>
          <w:lang w:val="en-GB"/>
        </w:rPr>
      </w:pPr>
      <w:r>
        <w:rPr>
          <w:lang w:val="en-GB"/>
        </w:rPr>
        <w:t>TTR - koha brenda kufirit terapeutik (ang. Time in Therapeutic Range)</w:t>
      </w:r>
    </w:p>
    <w:p w14:paraId="23A7E175" w14:textId="77777777" w:rsidR="001C7DCA" w:rsidRDefault="001C7DCA" w:rsidP="001C7DCA">
      <w:pPr>
        <w:pStyle w:val="KeinLeerraum"/>
        <w:rPr>
          <w:lang w:val="en-GB"/>
        </w:rPr>
      </w:pPr>
      <w:r w:rsidRPr="00960761">
        <w:rPr>
          <w:lang w:val="en-GB"/>
        </w:rPr>
        <w:t>T2DM</w:t>
      </w:r>
      <w:r>
        <w:rPr>
          <w:lang w:val="en-GB"/>
        </w:rPr>
        <w:t xml:space="preserve"> - diabet melitus tip 2 </w:t>
      </w:r>
    </w:p>
    <w:p w14:paraId="7A8100C5" w14:textId="77777777" w:rsidR="001C7DCA" w:rsidRDefault="001C7DCA" w:rsidP="001C7DCA">
      <w:pPr>
        <w:pStyle w:val="KeinLeerraum"/>
        <w:rPr>
          <w:lang w:val="en-GB"/>
        </w:rPr>
      </w:pPr>
      <w:r>
        <w:rPr>
          <w:lang w:val="en-GB"/>
        </w:rPr>
        <w:t>UFH – heparine e pafraksionuar (unfraxionated heaprin)</w:t>
      </w:r>
    </w:p>
    <w:p w14:paraId="42077968" w14:textId="77777777" w:rsidR="001C7DCA" w:rsidRDefault="001C7DCA" w:rsidP="001C7DCA">
      <w:pPr>
        <w:pStyle w:val="KeinLeerraum"/>
        <w:rPr>
          <w:lang w:val="en-GB"/>
        </w:rPr>
      </w:pPr>
      <w:r>
        <w:rPr>
          <w:lang w:val="en-GB"/>
        </w:rPr>
        <w:t xml:space="preserve">VKA - </w:t>
      </w:r>
      <w:r w:rsidRPr="00244C7A">
        <w:rPr>
          <w:lang w:val="en-GB"/>
        </w:rPr>
        <w:t>antivitamikët K (ang. Viatmin K Antagonist)</w:t>
      </w:r>
    </w:p>
    <w:p w14:paraId="33C95DBA" w14:textId="77777777" w:rsidR="001C7DCA" w:rsidRDefault="001C7DCA" w:rsidP="001C7DCA">
      <w:pPr>
        <w:pStyle w:val="KeinLeerraum"/>
        <w:rPr>
          <w:lang w:val="en-GB"/>
        </w:rPr>
      </w:pPr>
      <w:r>
        <w:rPr>
          <w:lang w:val="en-GB"/>
        </w:rPr>
        <w:t>VM  -  ventrikuli i majte</w:t>
      </w:r>
    </w:p>
    <w:p w14:paraId="4F1D8555" w14:textId="1E918019" w:rsidR="001C7DCA" w:rsidRDefault="001C7DCA" w:rsidP="001C7DCA">
      <w:pPr>
        <w:pStyle w:val="KeinLeerraum"/>
        <w:rPr>
          <w:lang w:val="en-GB"/>
        </w:rPr>
      </w:pPr>
      <w:r>
        <w:rPr>
          <w:lang w:val="en-GB"/>
        </w:rPr>
        <w:t>WBC – qelizat e bardha te gjakut (ang. White Blood Cell)</w:t>
      </w:r>
    </w:p>
    <w:p w14:paraId="4EEBFA0D" w14:textId="15C0FF59" w:rsidR="009E1860" w:rsidRDefault="009E1860" w:rsidP="001C7DCA">
      <w:pPr>
        <w:pStyle w:val="KeinLeerraum"/>
        <w:rPr>
          <w:lang w:val="en-GB"/>
        </w:rPr>
      </w:pPr>
    </w:p>
    <w:p w14:paraId="5CA898D7" w14:textId="77777777" w:rsidR="009E1860" w:rsidRPr="006C5AEA" w:rsidRDefault="009E1860" w:rsidP="009E1860">
      <w:pPr>
        <w:spacing w:beforeAutospacing="1" w:afterAutospacing="1" w:line="240" w:lineRule="auto"/>
        <w:textAlignment w:val="baseline"/>
        <w:outlineLvl w:val="0"/>
        <w:rPr>
          <w:rFonts w:eastAsia="Times New Roman" w:cstheme="minorHAnsi"/>
          <w:b/>
          <w:kern w:val="2"/>
          <w:sz w:val="28"/>
          <w:szCs w:val="28"/>
        </w:rPr>
      </w:pPr>
      <w:r w:rsidRPr="00DD40D3">
        <w:rPr>
          <w:rFonts w:eastAsia="Times New Roman" w:cstheme="minorHAnsi"/>
          <w:b/>
          <w:kern w:val="2"/>
          <w:sz w:val="28"/>
          <w:szCs w:val="28"/>
        </w:rPr>
        <w:lastRenderedPageBreak/>
        <w:t>3.4</w:t>
      </w:r>
      <w:r w:rsidRPr="006C5AEA">
        <w:rPr>
          <w:rFonts w:eastAsia="Times New Roman" w:cstheme="minorHAnsi"/>
          <w:b/>
          <w:kern w:val="2"/>
          <w:sz w:val="28"/>
          <w:szCs w:val="28"/>
        </w:rPr>
        <w:t xml:space="preserve"> Pacient</w:t>
      </w:r>
      <w:r>
        <w:rPr>
          <w:rFonts w:eastAsia="Times New Roman" w:cstheme="minorHAnsi"/>
          <w:b/>
          <w:kern w:val="2"/>
          <w:sz w:val="28"/>
          <w:szCs w:val="28"/>
        </w:rPr>
        <w:t>ë</w:t>
      </w:r>
      <w:r w:rsidRPr="006C5AEA">
        <w:rPr>
          <w:rFonts w:eastAsia="Times New Roman" w:cstheme="minorHAnsi"/>
          <w:b/>
          <w:kern w:val="2"/>
          <w:sz w:val="28"/>
          <w:szCs w:val="28"/>
        </w:rPr>
        <w:t>t me fibrilacion atrial dhe p</w:t>
      </w:r>
      <w:r>
        <w:rPr>
          <w:rFonts w:eastAsia="Times New Roman" w:cstheme="minorHAnsi"/>
          <w:b/>
          <w:kern w:val="2"/>
          <w:sz w:val="28"/>
          <w:szCs w:val="28"/>
        </w:rPr>
        <w:t>ë</w:t>
      </w:r>
      <w:r w:rsidRPr="006C5AEA">
        <w:rPr>
          <w:rFonts w:eastAsia="Times New Roman" w:cstheme="minorHAnsi"/>
          <w:b/>
          <w:kern w:val="2"/>
          <w:sz w:val="28"/>
          <w:szCs w:val="28"/>
        </w:rPr>
        <w:t>rkeq</w:t>
      </w:r>
      <w:r>
        <w:rPr>
          <w:rFonts w:eastAsia="Times New Roman" w:cstheme="minorHAnsi"/>
          <w:b/>
          <w:kern w:val="2"/>
          <w:sz w:val="28"/>
          <w:szCs w:val="28"/>
        </w:rPr>
        <w:t>ë</w:t>
      </w:r>
      <w:r w:rsidRPr="006C5AEA">
        <w:rPr>
          <w:rFonts w:eastAsia="Times New Roman" w:cstheme="minorHAnsi"/>
          <w:b/>
          <w:kern w:val="2"/>
          <w:sz w:val="28"/>
          <w:szCs w:val="28"/>
        </w:rPr>
        <w:t>sim t</w:t>
      </w:r>
      <w:r>
        <w:rPr>
          <w:rFonts w:eastAsia="Times New Roman" w:cstheme="minorHAnsi"/>
          <w:b/>
          <w:kern w:val="2"/>
          <w:sz w:val="28"/>
          <w:szCs w:val="28"/>
        </w:rPr>
        <w:t>ë</w:t>
      </w:r>
      <w:r w:rsidRPr="006C5AEA">
        <w:rPr>
          <w:rFonts w:eastAsia="Times New Roman" w:cstheme="minorHAnsi"/>
          <w:b/>
          <w:kern w:val="2"/>
          <w:sz w:val="28"/>
          <w:szCs w:val="28"/>
        </w:rPr>
        <w:t xml:space="preserve"> funksionit renal </w:t>
      </w:r>
    </w:p>
    <w:p w14:paraId="4AFC5DF3" w14:textId="77777777" w:rsidR="009E1860" w:rsidRPr="006C5AEA" w:rsidRDefault="009E1860" w:rsidP="009E1860">
      <w:pPr>
        <w:spacing w:beforeAutospacing="1" w:afterAutospacing="1" w:line="240" w:lineRule="auto"/>
        <w:textAlignment w:val="baseline"/>
        <w:outlineLvl w:val="0"/>
        <w:rPr>
          <w:rFonts w:eastAsia="Times New Roman" w:cstheme="minorHAnsi"/>
          <w:b/>
          <w:sz w:val="24"/>
          <w:szCs w:val="24"/>
        </w:rPr>
      </w:pPr>
      <w:r w:rsidRPr="006C5AEA">
        <w:rPr>
          <w:b/>
        </w:rPr>
        <w:t xml:space="preserve">3.4.1 </w:t>
      </w:r>
      <w:r w:rsidRPr="006C5AEA">
        <w:rPr>
          <w:rFonts w:eastAsia="Times New Roman" w:cstheme="minorHAnsi"/>
          <w:b/>
          <w:sz w:val="24"/>
          <w:szCs w:val="24"/>
        </w:rPr>
        <w:t>Epidemiologjia</w:t>
      </w:r>
    </w:p>
    <w:p w14:paraId="4EAD180E" w14:textId="77777777" w:rsidR="009E1860" w:rsidRPr="006C5AEA"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Përkeqësimi i fun</w:t>
      </w:r>
      <w:r>
        <w:rPr>
          <w:rFonts w:eastAsia="Times New Roman" w:cstheme="minorHAnsi"/>
          <w:color w:val="565656"/>
          <w:sz w:val="24"/>
          <w:szCs w:val="24"/>
        </w:rPr>
        <w:t>ksionit renal është veç</w:t>
      </w:r>
      <w:r w:rsidRPr="007F764F">
        <w:rPr>
          <w:rFonts w:eastAsia="Times New Roman" w:cstheme="minorHAnsi"/>
          <w:color w:val="565656"/>
          <w:sz w:val="24"/>
          <w:szCs w:val="24"/>
        </w:rPr>
        <w:t>anërisht shqetësues në pacientët me fibrilacion atrial, sepse dëmtimi i veshkave rrit mundësi</w:t>
      </w:r>
      <w:r>
        <w:rPr>
          <w:rFonts w:eastAsia="Times New Roman" w:cstheme="minorHAnsi"/>
          <w:color w:val="565656"/>
          <w:sz w:val="24"/>
          <w:szCs w:val="24"/>
        </w:rPr>
        <w:t xml:space="preserve">në e një ngjarjeje shkatërruese </w:t>
      </w:r>
      <w:r w:rsidRPr="007F764F">
        <w:rPr>
          <w:rFonts w:eastAsia="Times New Roman" w:cstheme="minorHAnsi"/>
          <w:color w:val="565656"/>
          <w:sz w:val="24"/>
          <w:szCs w:val="24"/>
        </w:rPr>
        <w:t>trombotike.(150,172,173)</w:t>
      </w:r>
      <w:r w:rsidRPr="007F764F">
        <w:rPr>
          <w:rFonts w:eastAsia="Times New Roman" w:cstheme="minorHAnsi"/>
          <w:color w:val="565656"/>
          <w:sz w:val="24"/>
          <w:szCs w:val="24"/>
        </w:rPr>
        <w:br/>
        <w:t>Akoma</w:t>
      </w:r>
      <w:r>
        <w:rPr>
          <w:rFonts w:eastAsia="Times New Roman" w:cstheme="minorHAnsi"/>
          <w:color w:val="565656"/>
          <w:sz w:val="24"/>
          <w:szCs w:val="24"/>
        </w:rPr>
        <w:t xml:space="preserve"> më shqetësues është fakti që fibrilacioni atrial</w:t>
      </w:r>
      <w:r w:rsidRPr="007F764F">
        <w:rPr>
          <w:rFonts w:eastAsia="Times New Roman" w:cstheme="minorHAnsi"/>
          <w:color w:val="565656"/>
          <w:sz w:val="24"/>
          <w:szCs w:val="24"/>
        </w:rPr>
        <w:t xml:space="preserve"> rrit rrezikun e rënies së funksionit re</w:t>
      </w:r>
      <w:r>
        <w:rPr>
          <w:rFonts w:eastAsia="Times New Roman" w:cstheme="minorHAnsi"/>
          <w:color w:val="565656"/>
          <w:sz w:val="24"/>
          <w:szCs w:val="24"/>
        </w:rPr>
        <w:t>nal, duke i bërë pacientët me fibrilacion atrial</w:t>
      </w:r>
      <w:r w:rsidRPr="007F764F">
        <w:rPr>
          <w:rFonts w:eastAsia="Times New Roman" w:cstheme="minorHAnsi"/>
          <w:color w:val="565656"/>
          <w:sz w:val="24"/>
          <w:szCs w:val="24"/>
        </w:rPr>
        <w:t xml:space="preserve"> më të prirur të vuajnë pasojat e rënda që shoqërojnë përkeqësimin e funksionit renal.(174,175)</w:t>
      </w:r>
      <w:r w:rsidRPr="007F764F">
        <w:rPr>
          <w:rFonts w:eastAsia="Times New Roman" w:cstheme="minorHAnsi"/>
          <w:color w:val="565656"/>
          <w:sz w:val="24"/>
          <w:szCs w:val="24"/>
        </w:rPr>
        <w:br/>
        <w:t>Fatkeqësisht, kur një pacient ka mosfunksionim të veshkave, ka të ngjarë të përke</w:t>
      </w:r>
      <w:r>
        <w:rPr>
          <w:rFonts w:eastAsia="Times New Roman" w:cstheme="minorHAnsi"/>
          <w:color w:val="565656"/>
          <w:sz w:val="24"/>
          <w:szCs w:val="24"/>
        </w:rPr>
        <w:t>qësohet nëse ai gjithashtu ka fibrilacion atrial</w:t>
      </w:r>
      <w:r w:rsidRPr="007F764F">
        <w:rPr>
          <w:rFonts w:eastAsia="Times New Roman" w:cstheme="minorHAnsi"/>
          <w:color w:val="565656"/>
          <w:sz w:val="24"/>
          <w:szCs w:val="24"/>
        </w:rPr>
        <w:t xml:space="preserve">. Pacientët me </w:t>
      </w:r>
      <w:r>
        <w:rPr>
          <w:rFonts w:eastAsia="Times New Roman" w:cstheme="minorHAnsi"/>
          <w:color w:val="565656"/>
          <w:sz w:val="24"/>
          <w:szCs w:val="24"/>
        </w:rPr>
        <w:t xml:space="preserve">fibrilacion atrial </w:t>
      </w:r>
      <w:r w:rsidRPr="007F764F">
        <w:rPr>
          <w:rFonts w:eastAsia="Times New Roman" w:cstheme="minorHAnsi"/>
          <w:color w:val="565656"/>
          <w:sz w:val="24"/>
          <w:szCs w:val="24"/>
        </w:rPr>
        <w:t>dhe sëmundje</w:t>
      </w:r>
      <w:r>
        <w:rPr>
          <w:rFonts w:eastAsia="Times New Roman" w:cstheme="minorHAnsi"/>
          <w:color w:val="565656"/>
          <w:sz w:val="24"/>
          <w:szCs w:val="24"/>
        </w:rPr>
        <w:t xml:space="preserve"> renale kronike (SRK)</w:t>
      </w:r>
      <w:r w:rsidRPr="007F764F">
        <w:rPr>
          <w:rFonts w:eastAsia="Times New Roman" w:cstheme="minorHAnsi"/>
          <w:color w:val="565656"/>
          <w:sz w:val="24"/>
          <w:szCs w:val="24"/>
        </w:rPr>
        <w:t xml:space="preserve"> kishin mbi 3</w:t>
      </w:r>
      <w:r>
        <w:rPr>
          <w:rFonts w:eastAsia="Times New Roman" w:cstheme="minorHAnsi"/>
          <w:color w:val="565656"/>
          <w:sz w:val="24"/>
          <w:szCs w:val="24"/>
        </w:rPr>
        <w:t xml:space="preserve"> herë më shumë gjasa të përparonin</w:t>
      </w:r>
      <w:r w:rsidRPr="007F764F">
        <w:rPr>
          <w:rFonts w:eastAsia="Times New Roman" w:cstheme="minorHAnsi"/>
          <w:color w:val="565656"/>
          <w:sz w:val="24"/>
          <w:szCs w:val="24"/>
        </w:rPr>
        <w:t xml:space="preserve"> në sëmundje renale të stadit përfundimtar krahasuar me ata pa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(raporti i rregulluar i rrezikut [HR]=3,2; intervali i besimit 95% [CI] 1,9 –5.2)(176)</w:t>
      </w:r>
    </w:p>
    <w:p w14:paraId="6180B6B0"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1ED6378"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t</w:t>
      </w:r>
      <w:r>
        <w:rPr>
          <w:rFonts w:eastAsia="Times New Roman" w:cstheme="minorHAnsi"/>
          <w:color w:val="565656"/>
          <w:sz w:val="24"/>
          <w:szCs w:val="24"/>
        </w:rPr>
        <w:t>a</w:t>
      </w:r>
      <w:r w:rsidRPr="007F764F">
        <w:rPr>
          <w:rFonts w:eastAsia="Times New Roman" w:cstheme="minorHAnsi"/>
          <w:color w:val="565656"/>
          <w:sz w:val="24"/>
          <w:szCs w:val="24"/>
        </w:rPr>
        <w:t xml:space="preserve"> komplikuar më tej tablonë dhe për të theksuar nevojën për të marrë parasysh funksionin e veshkave, du</w:t>
      </w:r>
      <w:r>
        <w:rPr>
          <w:rFonts w:eastAsia="Times New Roman" w:cstheme="minorHAnsi"/>
          <w:color w:val="565656"/>
          <w:sz w:val="24"/>
          <w:szCs w:val="24"/>
        </w:rPr>
        <w:t xml:space="preserve">het theksuar se pacientët me fibrilacion atrial </w:t>
      </w:r>
      <w:r w:rsidRPr="007F764F">
        <w:rPr>
          <w:rFonts w:eastAsia="Times New Roman" w:cstheme="minorHAnsi"/>
          <w:color w:val="565656"/>
          <w:sz w:val="24"/>
          <w:szCs w:val="24"/>
        </w:rPr>
        <w:t xml:space="preserve">që trajtohen me antikoagulantë mund të jenë në rrezik të vuajnë nga një shkallë e përshpejtuar e rënies së </w:t>
      </w:r>
      <w:r>
        <w:rPr>
          <w:rFonts w:eastAsia="Times New Roman" w:cstheme="minorHAnsi"/>
          <w:color w:val="565656"/>
          <w:sz w:val="24"/>
          <w:szCs w:val="24"/>
        </w:rPr>
        <w:t xml:space="preserve">funksionit renal </w:t>
      </w:r>
      <w:r w:rsidRPr="007F764F">
        <w:rPr>
          <w:rFonts w:eastAsia="Times New Roman" w:cstheme="minorHAnsi"/>
          <w:color w:val="565656"/>
          <w:sz w:val="24"/>
          <w:szCs w:val="24"/>
        </w:rPr>
        <w:t xml:space="preserve">për shkak të nefropatisë </w:t>
      </w:r>
      <w:r>
        <w:rPr>
          <w:rFonts w:eastAsia="Times New Roman" w:cstheme="minorHAnsi"/>
          <w:color w:val="565656"/>
          <w:sz w:val="24"/>
          <w:szCs w:val="24"/>
        </w:rPr>
        <w:t xml:space="preserve">të shkaktuar nga </w:t>
      </w:r>
      <w:r w:rsidRPr="007F764F">
        <w:rPr>
          <w:rFonts w:eastAsia="Times New Roman" w:cstheme="minorHAnsi"/>
          <w:color w:val="565656"/>
          <w:sz w:val="24"/>
          <w:szCs w:val="24"/>
        </w:rPr>
        <w:t>antikoagul</w:t>
      </w:r>
      <w:r>
        <w:rPr>
          <w:rFonts w:eastAsia="Times New Roman" w:cstheme="minorHAnsi"/>
          <w:color w:val="565656"/>
          <w:sz w:val="24"/>
          <w:szCs w:val="24"/>
        </w:rPr>
        <w:t xml:space="preserve">imi </w:t>
      </w:r>
      <w:r w:rsidRPr="007F764F">
        <w:rPr>
          <w:rFonts w:eastAsia="Times New Roman" w:cstheme="minorHAnsi"/>
          <w:color w:val="565656"/>
          <w:sz w:val="24"/>
          <w:szCs w:val="24"/>
        </w:rPr>
        <w:t xml:space="preserve">(ARN – Anticoagulation Related Nephropathy).(177) </w:t>
      </w:r>
      <w:r>
        <w:rPr>
          <w:rFonts w:eastAsia="Times New Roman" w:cstheme="minorHAnsi"/>
          <w:color w:val="565656"/>
          <w:sz w:val="24"/>
          <w:szCs w:val="24"/>
        </w:rPr>
        <w:t>Nefropatia e shkaktuar nga</w:t>
      </w:r>
      <w:r w:rsidRPr="00F20F17">
        <w:rPr>
          <w:rFonts w:eastAsia="Times New Roman" w:cstheme="minorHAnsi"/>
          <w:color w:val="565656"/>
          <w:sz w:val="24"/>
          <w:szCs w:val="24"/>
        </w:rPr>
        <w:t xml:space="preserve"> antikoagulimi </w:t>
      </w:r>
      <w:r>
        <w:rPr>
          <w:rFonts w:eastAsia="Times New Roman" w:cstheme="minorHAnsi"/>
          <w:color w:val="565656"/>
          <w:sz w:val="24"/>
          <w:szCs w:val="24"/>
        </w:rPr>
        <w:t xml:space="preserve">(ARN), e cila matet me zhvillimin e disa lloj dëmtimesh renale </w:t>
      </w:r>
      <w:r w:rsidRPr="007F764F">
        <w:rPr>
          <w:rFonts w:eastAsia="Times New Roman" w:cstheme="minorHAnsi"/>
          <w:color w:val="565656"/>
          <w:sz w:val="24"/>
          <w:szCs w:val="24"/>
        </w:rPr>
        <w:t xml:space="preserve">si </w:t>
      </w:r>
      <w:r>
        <w:rPr>
          <w:rFonts w:eastAsia="Times New Roman" w:cstheme="minorHAnsi"/>
          <w:color w:val="565656"/>
          <w:sz w:val="24"/>
          <w:szCs w:val="24"/>
        </w:rPr>
        <w:t>psh d</w:t>
      </w:r>
      <w:r w:rsidRPr="007F764F">
        <w:rPr>
          <w:rFonts w:eastAsia="Times New Roman" w:cstheme="minorHAnsi"/>
          <w:color w:val="565656"/>
          <w:sz w:val="24"/>
          <w:szCs w:val="24"/>
        </w:rPr>
        <w:t xml:space="preserve">ëmtimi akut i veshkave (AKI –Acute Kidney Injury), është një efekt anësor zakonisht i padiagnostikuar i terapisë </w:t>
      </w:r>
      <w:r>
        <w:rPr>
          <w:rFonts w:eastAsia="Times New Roman" w:cstheme="minorHAnsi"/>
          <w:color w:val="565656"/>
          <w:sz w:val="24"/>
          <w:szCs w:val="24"/>
        </w:rPr>
        <w:t xml:space="preserve">me </w:t>
      </w:r>
      <w:r w:rsidRPr="007F764F">
        <w:rPr>
          <w:rFonts w:eastAsia="Times New Roman" w:cstheme="minorHAnsi"/>
          <w:color w:val="565656"/>
          <w:sz w:val="24"/>
          <w:szCs w:val="24"/>
        </w:rPr>
        <w:t>antikoagul</w:t>
      </w:r>
      <w:r>
        <w:rPr>
          <w:rFonts w:eastAsia="Times New Roman" w:cstheme="minorHAnsi"/>
          <w:color w:val="565656"/>
          <w:sz w:val="24"/>
          <w:szCs w:val="24"/>
        </w:rPr>
        <w:t>antë</w:t>
      </w:r>
      <w:r w:rsidRPr="007F764F">
        <w:rPr>
          <w:rFonts w:eastAsia="Times New Roman" w:cstheme="minorHAnsi"/>
          <w:color w:val="565656"/>
          <w:sz w:val="24"/>
          <w:szCs w:val="24"/>
        </w:rPr>
        <w:t xml:space="preserve"> dhe shoqërohet me një rrezik </w:t>
      </w:r>
      <w:r>
        <w:rPr>
          <w:rFonts w:eastAsia="Times New Roman" w:cstheme="minorHAnsi"/>
          <w:color w:val="565656"/>
          <w:sz w:val="24"/>
          <w:szCs w:val="24"/>
        </w:rPr>
        <w:t>në rritje të mosfunksionimit renal</w:t>
      </w:r>
      <w:r w:rsidRPr="007F764F">
        <w:rPr>
          <w:rFonts w:eastAsia="Times New Roman" w:cstheme="minorHAnsi"/>
          <w:color w:val="565656"/>
          <w:sz w:val="24"/>
          <w:szCs w:val="24"/>
        </w:rPr>
        <w:t xml:space="preserve"> dhe vdekshmërisë nga të gjitha shkaqet.</w:t>
      </w:r>
      <w:r>
        <w:rPr>
          <w:rFonts w:eastAsia="Times New Roman" w:cstheme="minorHAnsi"/>
          <w:color w:val="565656"/>
          <w:sz w:val="24"/>
          <w:szCs w:val="24"/>
        </w:rPr>
        <w:t xml:space="preserve">(178) </w:t>
      </w:r>
      <w:r w:rsidRPr="007F764F">
        <w:rPr>
          <w:rFonts w:eastAsia="Times New Roman" w:cstheme="minorHAnsi"/>
          <w:color w:val="565656"/>
          <w:sz w:val="24"/>
          <w:szCs w:val="24"/>
        </w:rPr>
        <w:t xml:space="preserve">Shumica e </w:t>
      </w:r>
      <w:r>
        <w:rPr>
          <w:rFonts w:eastAsia="Times New Roman" w:cstheme="minorHAnsi"/>
          <w:color w:val="565656"/>
          <w:sz w:val="24"/>
          <w:szCs w:val="24"/>
        </w:rPr>
        <w:t>studimeve</w:t>
      </w:r>
      <w:r w:rsidRPr="007F764F">
        <w:rPr>
          <w:rFonts w:eastAsia="Times New Roman" w:cstheme="minorHAnsi"/>
          <w:color w:val="565656"/>
          <w:sz w:val="24"/>
          <w:szCs w:val="24"/>
        </w:rPr>
        <w:t xml:space="preserve"> mbi nefropatinë e </w:t>
      </w:r>
      <w:r>
        <w:rPr>
          <w:rFonts w:eastAsia="Times New Roman" w:cstheme="minorHAnsi"/>
          <w:color w:val="565656"/>
          <w:sz w:val="24"/>
          <w:szCs w:val="24"/>
        </w:rPr>
        <w:t>shkaktuar nga</w:t>
      </w:r>
      <w:r w:rsidRPr="007F764F">
        <w:rPr>
          <w:rFonts w:eastAsia="Times New Roman" w:cstheme="minorHAnsi"/>
          <w:color w:val="565656"/>
          <w:sz w:val="24"/>
          <w:szCs w:val="24"/>
        </w:rPr>
        <w:t xml:space="preserve"> antikoagulimi janë fokusuar pothuajse ekskluzivisht në antagonistët e vitaminës K (VKA); megjithatë, </w:t>
      </w:r>
      <w:r>
        <w:rPr>
          <w:rFonts w:eastAsia="Times New Roman" w:cstheme="minorHAnsi"/>
          <w:color w:val="565656"/>
          <w:sz w:val="24"/>
          <w:szCs w:val="24"/>
        </w:rPr>
        <w:t xml:space="preserve">së fundmi </w:t>
      </w:r>
      <w:r w:rsidRPr="007F764F">
        <w:rPr>
          <w:rFonts w:eastAsia="Times New Roman" w:cstheme="minorHAnsi"/>
          <w:color w:val="565656"/>
          <w:sz w:val="24"/>
          <w:szCs w:val="24"/>
        </w:rPr>
        <w:t>ka pasur</w:t>
      </w:r>
      <w:r>
        <w:rPr>
          <w:rFonts w:eastAsia="Times New Roman" w:cstheme="minorHAnsi"/>
          <w:color w:val="565656"/>
          <w:sz w:val="24"/>
          <w:szCs w:val="24"/>
        </w:rPr>
        <w:t xml:space="preserve"> raportim rastesh </w:t>
      </w:r>
      <w:r w:rsidRPr="007F764F">
        <w:rPr>
          <w:rFonts w:eastAsia="Times New Roman" w:cstheme="minorHAnsi"/>
          <w:color w:val="565656"/>
          <w:sz w:val="24"/>
          <w:szCs w:val="24"/>
        </w:rPr>
        <w:t xml:space="preserve"> dhe studime mbi kafshët që heto</w:t>
      </w:r>
      <w:r>
        <w:rPr>
          <w:rFonts w:eastAsia="Times New Roman" w:cstheme="minorHAnsi"/>
          <w:color w:val="565656"/>
          <w:sz w:val="24"/>
          <w:szCs w:val="24"/>
        </w:rPr>
        <w:t>jnë nefropatinë e shkaktuar nga NOAC-ët</w:t>
      </w:r>
      <w:r w:rsidRPr="007F764F">
        <w:rPr>
          <w:rFonts w:eastAsia="Times New Roman" w:cstheme="minorHAnsi"/>
          <w:color w:val="565656"/>
          <w:sz w:val="24"/>
          <w:szCs w:val="24"/>
        </w:rPr>
        <w:t>.(177-178)</w:t>
      </w:r>
    </w:p>
    <w:p w14:paraId="2B0DAACB"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w:t>
      </w:r>
    </w:p>
    <w:p w14:paraId="465DEA10" w14:textId="77777777" w:rsidR="009E1860" w:rsidRPr="00F20F17" w:rsidRDefault="009E1860" w:rsidP="009E1860">
      <w:pPr>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Faktorizimi në diabet</w:t>
      </w:r>
    </w:p>
    <w:p w14:paraId="1BE94A1F" w14:textId="77777777" w:rsidR="009E1860"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Përaf</w:t>
      </w:r>
      <w:r>
        <w:rPr>
          <w:rFonts w:eastAsia="Times New Roman" w:cstheme="minorHAnsi"/>
          <w:color w:val="565656"/>
          <w:sz w:val="24"/>
          <w:szCs w:val="24"/>
        </w:rPr>
        <w:t xml:space="preserve">ërsisht 3 nga 10 pacientë me fibrilacion atrial </w:t>
      </w:r>
      <w:r w:rsidRPr="007F764F">
        <w:rPr>
          <w:rFonts w:eastAsia="Times New Roman" w:cstheme="minorHAnsi"/>
          <w:color w:val="565656"/>
          <w:sz w:val="24"/>
          <w:szCs w:val="24"/>
        </w:rPr>
        <w:t>kanë gjithashtu diabet.</w:t>
      </w:r>
      <w:r>
        <w:rPr>
          <w:rFonts w:eastAsia="Times New Roman" w:cstheme="minorHAnsi"/>
          <w:color w:val="565656"/>
          <w:sz w:val="24"/>
          <w:szCs w:val="24"/>
        </w:rPr>
        <w:t xml:space="preserve"> (160) </w:t>
      </w:r>
      <w:r w:rsidRPr="007F764F">
        <w:rPr>
          <w:rFonts w:eastAsia="Times New Roman" w:cstheme="minorHAnsi"/>
          <w:color w:val="565656"/>
          <w:sz w:val="24"/>
          <w:szCs w:val="24"/>
        </w:rPr>
        <w:t>Kur ësht</w:t>
      </w:r>
      <w:r>
        <w:rPr>
          <w:rFonts w:eastAsia="Times New Roman" w:cstheme="minorHAnsi"/>
          <w:color w:val="565656"/>
          <w:sz w:val="24"/>
          <w:szCs w:val="24"/>
        </w:rPr>
        <w:t xml:space="preserve">ë i pranshëm në pacientët me fibrilacion atrial, diabeti paraqet </w:t>
      </w:r>
      <w:r w:rsidRPr="007F764F">
        <w:rPr>
          <w:rFonts w:eastAsia="Times New Roman" w:cstheme="minorHAnsi"/>
          <w:color w:val="565656"/>
          <w:sz w:val="24"/>
          <w:szCs w:val="24"/>
        </w:rPr>
        <w:t xml:space="preserve">veçanërisht </w:t>
      </w:r>
      <w:r>
        <w:rPr>
          <w:rFonts w:eastAsia="Times New Roman" w:cstheme="minorHAnsi"/>
          <w:color w:val="565656"/>
          <w:sz w:val="24"/>
          <w:szCs w:val="24"/>
        </w:rPr>
        <w:t xml:space="preserve">një situatë </w:t>
      </w:r>
      <w:r w:rsidRPr="007F764F">
        <w:rPr>
          <w:rFonts w:eastAsia="Times New Roman" w:cstheme="minorHAnsi"/>
          <w:color w:val="565656"/>
          <w:sz w:val="24"/>
          <w:szCs w:val="24"/>
        </w:rPr>
        <w:t>serioz</w:t>
      </w:r>
      <w:r>
        <w:rPr>
          <w:rFonts w:eastAsia="Times New Roman" w:cstheme="minorHAnsi"/>
          <w:color w:val="565656"/>
          <w:sz w:val="24"/>
          <w:szCs w:val="24"/>
        </w:rPr>
        <w:t>e</w:t>
      </w:r>
      <w:r w:rsidRPr="007F764F">
        <w:rPr>
          <w:rFonts w:eastAsia="Times New Roman" w:cstheme="minorHAnsi"/>
          <w:color w:val="565656"/>
          <w:sz w:val="24"/>
          <w:szCs w:val="24"/>
        </w:rPr>
        <w:t xml:space="preserve"> dhe duhet të merret parasysh n</w:t>
      </w:r>
      <w:r>
        <w:rPr>
          <w:rFonts w:eastAsia="Times New Roman" w:cstheme="minorHAnsi"/>
          <w:color w:val="565656"/>
          <w:sz w:val="24"/>
          <w:szCs w:val="24"/>
        </w:rPr>
        <w:t>ë të gjitha vendimet klinike</w:t>
      </w:r>
      <w:r w:rsidRPr="007F764F">
        <w:rPr>
          <w:rFonts w:eastAsia="Times New Roman" w:cstheme="minorHAnsi"/>
          <w:color w:val="565656"/>
          <w:sz w:val="24"/>
          <w:szCs w:val="24"/>
        </w:rPr>
        <w:t>. Diabeti</w:t>
      </w:r>
      <w:r>
        <w:rPr>
          <w:rFonts w:eastAsia="Times New Roman" w:cstheme="minorHAnsi"/>
          <w:color w:val="565656"/>
          <w:sz w:val="24"/>
          <w:szCs w:val="24"/>
        </w:rPr>
        <w:t>,</w:t>
      </w:r>
      <w:r w:rsidRPr="007F764F">
        <w:rPr>
          <w:rFonts w:eastAsia="Times New Roman" w:cstheme="minorHAnsi"/>
          <w:color w:val="565656"/>
          <w:sz w:val="24"/>
          <w:szCs w:val="24"/>
        </w:rPr>
        <w:t xml:space="preserve"> jo vetëm që rrit rrezikun e një pacienti për </w:t>
      </w:r>
      <w:r>
        <w:rPr>
          <w:rFonts w:eastAsia="Times New Roman" w:cstheme="minorHAnsi"/>
          <w:color w:val="565656"/>
          <w:sz w:val="24"/>
          <w:szCs w:val="24"/>
        </w:rPr>
        <w:t>insult cerebral</w:t>
      </w:r>
      <w:r w:rsidRPr="007F764F">
        <w:rPr>
          <w:rFonts w:eastAsia="Times New Roman" w:cstheme="minorHAnsi"/>
          <w:color w:val="565656"/>
          <w:sz w:val="24"/>
          <w:szCs w:val="24"/>
        </w:rPr>
        <w:t xml:space="preserve"> me 1.7 herë, por është gjithashtu një faktor kryesor rreziku për uljen e funksionit renal. Në mënyrë alarmante, funksioni i veshkave bie dy herë më shumë te njerëzit me diabet sesa te njerëzit pa diabet.</w:t>
      </w:r>
      <w:r>
        <w:rPr>
          <w:rFonts w:eastAsia="Times New Roman" w:cstheme="minorHAnsi"/>
          <w:color w:val="565656"/>
          <w:sz w:val="24"/>
          <w:szCs w:val="24"/>
        </w:rPr>
        <w:t xml:space="preserve"> </w:t>
      </w:r>
      <w:r w:rsidRPr="007F764F">
        <w:rPr>
          <w:rFonts w:eastAsia="Times New Roman" w:cstheme="minorHAnsi"/>
          <w:color w:val="565656"/>
          <w:sz w:val="24"/>
          <w:szCs w:val="24"/>
        </w:rPr>
        <w:t>(179,180)</w:t>
      </w:r>
      <w:r w:rsidRPr="007F764F">
        <w:rPr>
          <w:rFonts w:eastAsia="Times New Roman" w:cstheme="minorHAnsi"/>
          <w:color w:val="565656"/>
          <w:sz w:val="24"/>
          <w:szCs w:val="24"/>
        </w:rPr>
        <w:br/>
        <w:t xml:space="preserve">Me diabetin </w:t>
      </w:r>
      <w:r>
        <w:rPr>
          <w:rFonts w:eastAsia="Times New Roman" w:cstheme="minorHAnsi"/>
          <w:color w:val="565656"/>
          <w:sz w:val="24"/>
          <w:szCs w:val="24"/>
        </w:rPr>
        <w:t>që çon në një rrezik të shtuar p</w:t>
      </w:r>
      <w:r w:rsidRPr="007F764F">
        <w:rPr>
          <w:rFonts w:eastAsia="Times New Roman" w:cstheme="minorHAnsi"/>
          <w:color w:val="565656"/>
          <w:sz w:val="24"/>
          <w:szCs w:val="24"/>
        </w:rPr>
        <w:t>ë</w:t>
      </w:r>
      <w:r>
        <w:rPr>
          <w:rFonts w:eastAsia="Times New Roman" w:cstheme="minorHAnsi"/>
          <w:color w:val="565656"/>
          <w:sz w:val="24"/>
          <w:szCs w:val="24"/>
        </w:rPr>
        <w:t>r</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insult cerebral </w:t>
      </w:r>
      <w:r w:rsidRPr="007F764F">
        <w:rPr>
          <w:rFonts w:eastAsia="Times New Roman" w:cstheme="minorHAnsi"/>
          <w:color w:val="565656"/>
          <w:sz w:val="24"/>
          <w:szCs w:val="24"/>
        </w:rPr>
        <w:t>dhe dëmt</w:t>
      </w:r>
      <w:r>
        <w:rPr>
          <w:rFonts w:eastAsia="Times New Roman" w:cstheme="minorHAnsi"/>
          <w:color w:val="565656"/>
          <w:sz w:val="24"/>
          <w:szCs w:val="24"/>
        </w:rPr>
        <w:t>im të veshkave në pacientët me fibrilacion atrial</w:t>
      </w:r>
      <w:r w:rsidRPr="007F764F">
        <w:rPr>
          <w:rFonts w:eastAsia="Times New Roman" w:cstheme="minorHAnsi"/>
          <w:color w:val="565656"/>
          <w:sz w:val="24"/>
          <w:szCs w:val="24"/>
        </w:rPr>
        <w:t>, prania e diabetit shoqërues është një variabël i rëndësishëm për t'u marrë parasysh gjatë menaxhimit të këtyre pacientë</w:t>
      </w:r>
      <w:r>
        <w:rPr>
          <w:rFonts w:eastAsia="Times New Roman" w:cstheme="minorHAnsi"/>
          <w:color w:val="565656"/>
          <w:sz w:val="24"/>
          <w:szCs w:val="24"/>
        </w:rPr>
        <w:t>ve me rrezik të lartë.(181-183)</w:t>
      </w:r>
    </w:p>
    <w:p w14:paraId="5FCD46B9" w14:textId="77777777" w:rsidR="009E1860" w:rsidRPr="00DD40D3" w:rsidRDefault="009E1860" w:rsidP="009E1860">
      <w:pPr>
        <w:spacing w:line="240" w:lineRule="auto"/>
        <w:textAlignment w:val="baseline"/>
        <w:rPr>
          <w:rFonts w:eastAsia="Times New Roman" w:cstheme="minorHAnsi"/>
          <w:color w:val="565656"/>
          <w:sz w:val="24"/>
          <w:szCs w:val="24"/>
        </w:rPr>
      </w:pPr>
    </w:p>
    <w:p w14:paraId="611F21A3" w14:textId="77777777" w:rsidR="009E1860" w:rsidRPr="00F20F17" w:rsidRDefault="009E1860" w:rsidP="009E1860">
      <w:pPr>
        <w:spacing w:line="240" w:lineRule="auto"/>
        <w:textAlignment w:val="baseline"/>
        <w:rPr>
          <w:rFonts w:eastAsia="Times New Roman" w:cstheme="minorHAnsi"/>
          <w:b/>
          <w:sz w:val="24"/>
          <w:szCs w:val="24"/>
        </w:rPr>
      </w:pPr>
      <w:r>
        <w:rPr>
          <w:rFonts w:eastAsia="Times New Roman" w:cstheme="minorHAnsi"/>
          <w:b/>
          <w:sz w:val="24"/>
          <w:szCs w:val="24"/>
        </w:rPr>
        <w:t xml:space="preserve">3.4.2 </w:t>
      </w:r>
      <w:r w:rsidRPr="00F20F17">
        <w:rPr>
          <w:rFonts w:eastAsia="Times New Roman" w:cstheme="minorHAnsi"/>
          <w:b/>
          <w:sz w:val="24"/>
          <w:szCs w:val="24"/>
        </w:rPr>
        <w:t>Evidenca klinike</w:t>
      </w:r>
    </w:p>
    <w:p w14:paraId="025A62C7"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lastRenderedPageBreak/>
        <w:t xml:space="preserve">Në një analizë të ndjeshmërisë, rivaroxaban dhe dabigatran ulën ndjeshëm rrezikun e një rënie prej ≥30% të shkallës së filtrimit glomerular (eGFR) dhe të dëmtimit renal akut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 në pacientët me fibrilacion atrial</w:t>
      </w:r>
      <w:r w:rsidRPr="007F764F">
        <w:rPr>
          <w:rFonts w:eastAsia="Times New Roman" w:cstheme="minorHAnsi"/>
          <w:color w:val="565656"/>
          <w:sz w:val="24"/>
          <w:szCs w:val="24"/>
        </w:rPr>
        <w:t>.</w:t>
      </w:r>
      <w:r w:rsidRPr="007F764F">
        <w:rPr>
          <w:rFonts w:eastAsia="Times New Roman" w:cstheme="minorHAnsi"/>
          <w:color w:val="565656"/>
          <w:sz w:val="24"/>
          <w:szCs w:val="24"/>
        </w:rPr>
        <w:br/>
        <w:t>Akoma më i rëndësishëm është fakti që përfitimi i vë</w:t>
      </w:r>
      <w:r>
        <w:rPr>
          <w:rFonts w:eastAsia="Times New Roman" w:cstheme="minorHAnsi"/>
          <w:color w:val="565656"/>
          <w:sz w:val="24"/>
          <w:szCs w:val="24"/>
        </w:rPr>
        <w:t xml:space="preserve">rejtur me NOAC </w:t>
      </w:r>
      <w:r w:rsidRPr="007F764F">
        <w:rPr>
          <w:rFonts w:eastAsia="Times New Roman" w:cstheme="minorHAnsi"/>
          <w:color w:val="565656"/>
          <w:sz w:val="24"/>
          <w:szCs w:val="24"/>
        </w:rPr>
        <w:t>në r</w:t>
      </w:r>
      <w:r>
        <w:rPr>
          <w:rFonts w:eastAsia="Times New Roman" w:cstheme="minorHAnsi"/>
          <w:color w:val="565656"/>
          <w:sz w:val="24"/>
          <w:szCs w:val="24"/>
        </w:rPr>
        <w:t>uajtjen e funksionit renal ishte gjithashtu i dukshme në pacientët me fibrilacion atrial</w:t>
      </w:r>
      <w:r w:rsidRPr="007F764F">
        <w:rPr>
          <w:rFonts w:eastAsia="Times New Roman" w:cstheme="minorHAnsi"/>
          <w:color w:val="565656"/>
          <w:sz w:val="24"/>
          <w:szCs w:val="24"/>
        </w:rPr>
        <w:t xml:space="preserve"> dhe diabet, të cilët kishin më pak gjasa të</w:t>
      </w:r>
      <w:r>
        <w:rPr>
          <w:rFonts w:eastAsia="Times New Roman" w:cstheme="minorHAnsi"/>
          <w:color w:val="565656"/>
          <w:sz w:val="24"/>
          <w:szCs w:val="24"/>
        </w:rPr>
        <w:t xml:space="preserve"> kishin një rënie prej ≥30% në shkallën e filtrimit glomerular (e</w:t>
      </w:r>
      <w:r w:rsidRPr="007F764F">
        <w:rPr>
          <w:rFonts w:eastAsia="Times New Roman" w:cstheme="minorHAnsi"/>
          <w:color w:val="565656"/>
          <w:sz w:val="24"/>
          <w:szCs w:val="24"/>
        </w:rPr>
        <w:t>GFR</w:t>
      </w:r>
      <w:r>
        <w:rPr>
          <w:rFonts w:eastAsia="Times New Roman" w:cstheme="minorHAnsi"/>
          <w:color w:val="565656"/>
          <w:sz w:val="24"/>
          <w:szCs w:val="24"/>
        </w:rPr>
        <w:t>)</w:t>
      </w:r>
      <w:r w:rsidRPr="007F764F">
        <w:rPr>
          <w:rFonts w:eastAsia="Times New Roman" w:cstheme="minorHAnsi"/>
          <w:color w:val="565656"/>
          <w:sz w:val="24"/>
          <w:szCs w:val="24"/>
        </w:rPr>
        <w:t xml:space="preserve"> ose dë</w:t>
      </w:r>
      <w:r>
        <w:rPr>
          <w:rFonts w:eastAsia="Times New Roman" w:cstheme="minorHAnsi"/>
          <w:color w:val="565656"/>
          <w:sz w:val="24"/>
          <w:szCs w:val="24"/>
        </w:rPr>
        <w:t xml:space="preserve">mtimin </w:t>
      </w:r>
      <w:r w:rsidRPr="007F764F">
        <w:rPr>
          <w:rFonts w:eastAsia="Times New Roman" w:cstheme="minorHAnsi"/>
          <w:color w:val="565656"/>
          <w:sz w:val="24"/>
          <w:szCs w:val="24"/>
        </w:rPr>
        <w:t xml:space="preserve">akut të veshkave nëse merrnin rivaroxaban ose dabigatran në vend të </w:t>
      </w:r>
      <w:r>
        <w:rPr>
          <w:rFonts w:eastAsia="Times New Roman" w:cstheme="minorHAnsi"/>
          <w:color w:val="565656"/>
          <w:sz w:val="24"/>
          <w:szCs w:val="24"/>
        </w:rPr>
        <w:t>varf</w:t>
      </w:r>
      <w:r w:rsidRPr="007F764F">
        <w:rPr>
          <w:rFonts w:eastAsia="Times New Roman" w:cstheme="minorHAnsi"/>
          <w:color w:val="565656"/>
          <w:sz w:val="24"/>
          <w:szCs w:val="24"/>
        </w:rPr>
        <w:t>arinës.</w:t>
      </w:r>
      <w:r w:rsidRPr="007F764F">
        <w:rPr>
          <w:rFonts w:eastAsia="Times New Roman" w:cstheme="minorHAnsi"/>
          <w:color w:val="565656"/>
          <w:sz w:val="24"/>
          <w:szCs w:val="24"/>
        </w:rPr>
        <w:br/>
        <w:t>Për më tepër, rivaroxaban ishte i vetmi NOAC që reduktoi rrezikun e dyfishimit të</w:t>
      </w:r>
      <w:r>
        <w:rPr>
          <w:rFonts w:eastAsia="Times New Roman" w:cstheme="minorHAnsi"/>
          <w:color w:val="565656"/>
          <w:sz w:val="24"/>
          <w:szCs w:val="24"/>
        </w:rPr>
        <w:t xml:space="preserve"> vlerave të</w:t>
      </w:r>
      <w:r w:rsidRPr="007F764F">
        <w:rPr>
          <w:rFonts w:eastAsia="Times New Roman" w:cstheme="minorHAnsi"/>
          <w:color w:val="565656"/>
          <w:sz w:val="24"/>
          <w:szCs w:val="24"/>
        </w:rPr>
        <w:t xml:space="preserve"> kretininës në serum krahasuar me </w:t>
      </w:r>
      <w:r>
        <w:rPr>
          <w:rFonts w:eastAsia="Times New Roman" w:cstheme="minorHAnsi"/>
          <w:color w:val="565656"/>
          <w:sz w:val="24"/>
          <w:szCs w:val="24"/>
        </w:rPr>
        <w:t>varf</w:t>
      </w:r>
      <w:r w:rsidRPr="007F764F">
        <w:rPr>
          <w:rFonts w:eastAsia="Times New Roman" w:cstheme="minorHAnsi"/>
          <w:color w:val="565656"/>
          <w:sz w:val="24"/>
          <w:szCs w:val="24"/>
        </w:rPr>
        <w:t>arinën.(184)</w:t>
      </w:r>
    </w:p>
    <w:p w14:paraId="608C29BC" w14:textId="77777777" w:rsidR="009E1860" w:rsidRPr="007F764F" w:rsidRDefault="009E1860" w:rsidP="009E1860">
      <w:pPr>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7C29E90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6EDE0A02"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732E5C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56A641FC"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33E44F3"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6E80767"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4E70CE30"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58A2E41F"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p>
    <w:p w14:paraId="7C166D8C" w14:textId="77777777" w:rsidR="009E1860" w:rsidRPr="007F764F" w:rsidRDefault="009E1860" w:rsidP="009E1860">
      <w:pPr>
        <w:spacing w:beforeAutospacing="1" w:afterAutospacing="1" w:line="240" w:lineRule="auto"/>
        <w:textAlignment w:val="baseline"/>
        <w:outlineLvl w:val="3"/>
        <w:rPr>
          <w:rFonts w:cstheme="minorHAnsi"/>
          <w:noProof/>
          <w:sz w:val="24"/>
          <w:szCs w:val="24"/>
        </w:rPr>
      </w:pPr>
      <w:r>
        <w:rPr>
          <w:noProof/>
        </w:rPr>
        <w:drawing>
          <wp:inline distT="0" distB="0" distL="0" distR="0" wp14:anchorId="296428B0" wp14:editId="0279A9CE">
            <wp:extent cx="5880100" cy="1771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0" cy="1771650"/>
                    </a:xfrm>
                    <a:prstGeom prst="rect">
                      <a:avLst/>
                    </a:prstGeom>
                    <a:noFill/>
                    <a:ln>
                      <a:noFill/>
                    </a:ln>
                  </pic:spPr>
                </pic:pic>
              </a:graphicData>
            </a:graphic>
          </wp:inline>
        </w:drawing>
      </w:r>
    </w:p>
    <w:p w14:paraId="03759078"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drawing>
          <wp:inline distT="0" distB="0" distL="0" distR="0" wp14:anchorId="1073EA5A" wp14:editId="49F2401C">
            <wp:extent cx="5943600" cy="16681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68145"/>
                    </a:xfrm>
                    <a:prstGeom prst="rect">
                      <a:avLst/>
                    </a:prstGeom>
                    <a:noFill/>
                    <a:ln>
                      <a:noFill/>
                    </a:ln>
                  </pic:spPr>
                </pic:pic>
              </a:graphicData>
            </a:graphic>
          </wp:inline>
        </w:drawing>
      </w:r>
    </w:p>
    <w:p w14:paraId="503401C4"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r>
        <w:rPr>
          <w:noProof/>
        </w:rPr>
        <w:lastRenderedPageBreak/>
        <w:drawing>
          <wp:inline distT="0" distB="0" distL="0" distR="0" wp14:anchorId="6D92529A" wp14:editId="2177D562">
            <wp:extent cx="5835650" cy="2359488"/>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8518" cy="2384907"/>
                    </a:xfrm>
                    <a:prstGeom prst="rect">
                      <a:avLst/>
                    </a:prstGeom>
                    <a:noFill/>
                    <a:ln>
                      <a:noFill/>
                    </a:ln>
                  </pic:spPr>
                </pic:pic>
              </a:graphicData>
            </a:graphic>
          </wp:inline>
        </w:drawing>
      </w:r>
    </w:p>
    <w:p w14:paraId="7634A28D"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C4D0012"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1088E54" w14:textId="77777777" w:rsidR="009E1860"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1048F38D" w14:textId="77777777" w:rsidR="009E1860" w:rsidRPr="007F764F" w:rsidRDefault="009E1860" w:rsidP="009E1860">
      <w:pPr>
        <w:spacing w:beforeAutospacing="1" w:afterAutospacing="1" w:line="240" w:lineRule="auto"/>
        <w:textAlignment w:val="baseline"/>
        <w:outlineLvl w:val="3"/>
        <w:rPr>
          <w:rFonts w:eastAsia="Times New Roman" w:cstheme="minorHAnsi"/>
          <w:color w:val="AD0157"/>
          <w:sz w:val="24"/>
          <w:szCs w:val="24"/>
        </w:rPr>
      </w:pPr>
    </w:p>
    <w:p w14:paraId="59B42331"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6EB6E6C4"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Data baza MarketScan në ShBA</w:t>
      </w:r>
    </w:p>
    <w:p w14:paraId="79BFD07B"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Një studim analizoi të dhënat e bazës së të dhënave MarketScan në ShBA tek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të cilët nuk kishin marrë antikoagulantë oralë ≥12 muaj përpara se të fillonin rivaroxaban (n=36,318) ose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(n=36,281).</w:t>
      </w:r>
      <w:r>
        <w:rPr>
          <w:rFonts w:eastAsia="Times New Roman" w:cstheme="minorHAnsi"/>
          <w:color w:val="565656"/>
          <w:sz w:val="24"/>
          <w:szCs w:val="24"/>
        </w:rPr>
        <w:t xml:space="preserve">(185,186) </w:t>
      </w:r>
      <w:r w:rsidRPr="007F764F">
        <w:rPr>
          <w:rFonts w:eastAsia="Times New Roman" w:cstheme="minorHAnsi"/>
          <w:color w:val="565656"/>
          <w:sz w:val="24"/>
          <w:szCs w:val="24"/>
        </w:rPr>
        <w:t xml:space="preserve">Pacientët e trajtuar me rivaroxaban kishin më pak gjasa të vuanin nga dëmtimi akut renal, të kalonin në stadin e 5-të të SRK  ose të kishin nevojë për dializë në krahasim me pacientët që merrnin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.(185,186)</w:t>
      </w:r>
    </w:p>
    <w:p w14:paraId="4EADF272" w14:textId="77777777" w:rsidR="009E1860" w:rsidRPr="00D0116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0D41D8C3" wp14:editId="3225613F">
            <wp:extent cx="5943600" cy="21564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56460"/>
                    </a:xfrm>
                    <a:prstGeom prst="rect">
                      <a:avLst/>
                    </a:prstGeom>
                  </pic:spPr>
                </pic:pic>
              </a:graphicData>
            </a:graphic>
          </wp:inline>
        </w:drawing>
      </w:r>
    </w:p>
    <w:p w14:paraId="023AF1AF"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lastRenderedPageBreak/>
        <w:t>CALLIPER</w:t>
      </w:r>
    </w:p>
    <w:p w14:paraId="2A567A20" w14:textId="77777777" w:rsidR="009E1860" w:rsidRPr="007F764F"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Studimi CALLIPER analizoi </w:t>
      </w:r>
      <w:r w:rsidRPr="007F764F">
        <w:rPr>
          <w:rFonts w:eastAsia="Times New Roman" w:cstheme="minorHAnsi"/>
          <w:color w:val="565656"/>
          <w:sz w:val="24"/>
          <w:szCs w:val="24"/>
        </w:rPr>
        <w:t>të dhënat e pacientë</w:t>
      </w:r>
      <w:r>
        <w:rPr>
          <w:rFonts w:eastAsia="Times New Roman" w:cstheme="minorHAnsi"/>
          <w:color w:val="565656"/>
          <w:sz w:val="24"/>
          <w:szCs w:val="24"/>
        </w:rPr>
        <w:t>ve me fibrilacion atrial</w:t>
      </w:r>
      <w:r w:rsidRPr="007F764F">
        <w:rPr>
          <w:rFonts w:eastAsia="Times New Roman" w:cstheme="minorHAnsi"/>
          <w:color w:val="565656"/>
          <w:sz w:val="24"/>
          <w:szCs w:val="24"/>
        </w:rPr>
        <w:t xml:space="preserve"> nga një tjetër databazë shëndetë</w:t>
      </w:r>
      <w:r>
        <w:rPr>
          <w:rFonts w:eastAsia="Times New Roman" w:cstheme="minorHAnsi"/>
          <w:color w:val="565656"/>
          <w:sz w:val="24"/>
          <w:szCs w:val="24"/>
        </w:rPr>
        <w:t xml:space="preserve">sore </w:t>
      </w:r>
      <w:r w:rsidRPr="007F764F">
        <w:rPr>
          <w:rFonts w:eastAsia="Times New Roman" w:cstheme="minorHAnsi"/>
          <w:color w:val="565656"/>
          <w:sz w:val="24"/>
          <w:szCs w:val="24"/>
        </w:rPr>
        <w:t xml:space="preserve">në ShBA. U përzgjodhën pacientë </w:t>
      </w:r>
      <w:r>
        <w:rPr>
          <w:rFonts w:eastAsia="Times New Roman" w:cstheme="minorHAnsi"/>
          <w:color w:val="565656"/>
          <w:sz w:val="24"/>
          <w:szCs w:val="24"/>
        </w:rPr>
        <w:t>q</w:t>
      </w:r>
      <w:r w:rsidRPr="007F764F">
        <w:rPr>
          <w:rFonts w:eastAsia="Times New Roman" w:cstheme="minorHAnsi"/>
          <w:color w:val="565656"/>
          <w:sz w:val="24"/>
          <w:szCs w:val="24"/>
        </w:rPr>
        <w:t xml:space="preserve">ë </w:t>
      </w:r>
      <w:r>
        <w:rPr>
          <w:rFonts w:eastAsia="Times New Roman" w:cstheme="minorHAnsi"/>
          <w:color w:val="565656"/>
          <w:sz w:val="24"/>
          <w:szCs w:val="24"/>
        </w:rPr>
        <w:t>s’kishin përdorur kurrë më parë varf</w:t>
      </w:r>
      <w:r w:rsidRPr="007F764F">
        <w:rPr>
          <w:rFonts w:eastAsia="Times New Roman" w:cstheme="minorHAnsi"/>
          <w:color w:val="565656"/>
          <w:sz w:val="24"/>
          <w:szCs w:val="24"/>
        </w:rPr>
        <w:t>arinë ose rivaroxaban</w:t>
      </w:r>
      <w:r>
        <w:rPr>
          <w:rFonts w:eastAsia="Times New Roman" w:cstheme="minorHAnsi"/>
          <w:color w:val="565656"/>
          <w:sz w:val="24"/>
          <w:szCs w:val="24"/>
        </w:rPr>
        <w:t xml:space="preserve"> </w:t>
      </w:r>
      <w:r w:rsidRPr="007F764F">
        <w:rPr>
          <w:rFonts w:eastAsia="Times New Roman" w:cstheme="minorHAnsi"/>
          <w:color w:val="565656"/>
          <w:sz w:val="24"/>
          <w:szCs w:val="24"/>
        </w:rPr>
        <w:t>dhe që tashmë ishin diagnostikuar me SRK të fazës III ose IV. Studimi përfshiu 1466 pacientë që kishin filluar me një dozë të reduktuar të rivaroxaban (15 mg një herë në ditë) dhe 5906 pacientë që morën</w:t>
      </w:r>
      <w:r>
        <w:rPr>
          <w:rFonts w:eastAsia="Times New Roman" w:cstheme="minorHAnsi"/>
          <w:color w:val="565656"/>
          <w:sz w:val="24"/>
          <w:szCs w:val="24"/>
        </w:rPr>
        <w:t xml:space="preserve"> varf</w:t>
      </w:r>
      <w:r w:rsidRPr="007F764F">
        <w:rPr>
          <w:rFonts w:eastAsia="Times New Roman" w:cstheme="minorHAnsi"/>
          <w:color w:val="565656"/>
          <w:sz w:val="24"/>
          <w:szCs w:val="24"/>
        </w:rPr>
        <w:t>arin</w:t>
      </w:r>
      <w:r>
        <w:rPr>
          <w:rFonts w:eastAsia="Times New Roman" w:cstheme="minorHAnsi"/>
          <w:color w:val="565656"/>
          <w:sz w:val="24"/>
          <w:szCs w:val="24"/>
        </w:rPr>
        <w:t>ë</w:t>
      </w:r>
      <w:r w:rsidRPr="007F764F">
        <w:rPr>
          <w:rFonts w:eastAsia="Times New Roman" w:cstheme="minorHAnsi"/>
          <w:color w:val="565656"/>
          <w:sz w:val="24"/>
          <w:szCs w:val="24"/>
        </w:rPr>
        <w:t xml:space="preserve">. Krahasuar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rivaroxaban u shoqërua me një reduktim të konsiderueshëm prej 47% të rrezikut të përkeqësimit të funksionit renal (HR=0.53; 95% CI 0.35-0.78). Për më tepër, në një nënanalizë të afërsisht 50% të pacientëve me diabet shoqërues, rivaroxaban reduktoi konsiderueshëm (me 50%) rrezikun për rënie të</w:t>
      </w:r>
      <w:r>
        <w:rPr>
          <w:rFonts w:eastAsia="Times New Roman" w:cstheme="minorHAnsi"/>
          <w:color w:val="565656"/>
          <w:sz w:val="24"/>
          <w:szCs w:val="24"/>
        </w:rPr>
        <w:t xml:space="preserve"> funksionit renal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varf</w:t>
      </w:r>
      <w:r w:rsidRPr="007F764F">
        <w:rPr>
          <w:rFonts w:eastAsia="Times New Roman" w:cstheme="minorHAnsi"/>
          <w:color w:val="565656"/>
          <w:sz w:val="24"/>
          <w:szCs w:val="24"/>
        </w:rPr>
        <w:t>arin</w:t>
      </w:r>
      <w:r>
        <w:rPr>
          <w:rFonts w:eastAsia="Times New Roman" w:cstheme="minorHAnsi"/>
          <w:color w:val="565656"/>
          <w:sz w:val="24"/>
          <w:szCs w:val="24"/>
        </w:rPr>
        <w:t>ën</w:t>
      </w:r>
      <w:r w:rsidRPr="007F764F">
        <w:rPr>
          <w:rFonts w:eastAsia="Times New Roman" w:cstheme="minorHAnsi"/>
          <w:color w:val="565656"/>
          <w:sz w:val="24"/>
          <w:szCs w:val="24"/>
        </w:rPr>
        <w:t xml:space="preserve"> (HR=0.50; 95% CI 0.30-0.83 ).(</w:t>
      </w:r>
      <w:hyperlink r:id="rId12" w:anchor="fn:ref18" w:history="1">
        <w:r w:rsidRPr="007F764F">
          <w:rPr>
            <w:rFonts w:eastAsia="Times New Roman" w:cstheme="minorHAnsi"/>
            <w:color w:val="565656"/>
            <w:sz w:val="24"/>
            <w:szCs w:val="24"/>
          </w:rPr>
          <w:t>18</w:t>
        </w:r>
      </w:hyperlink>
      <w:r w:rsidRPr="007F764F">
        <w:rPr>
          <w:rFonts w:eastAsia="Times New Roman" w:cstheme="minorHAnsi"/>
          <w:color w:val="565656"/>
          <w:sz w:val="24"/>
          <w:szCs w:val="24"/>
        </w:rPr>
        <w:t>7)</w:t>
      </w:r>
    </w:p>
    <w:p w14:paraId="5297F644" w14:textId="77777777" w:rsidR="009E1860" w:rsidRPr="007F764F" w:rsidRDefault="009E1860" w:rsidP="009E1860">
      <w:pPr>
        <w:spacing w:after="150" w:line="240" w:lineRule="auto"/>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5F106E66" wp14:editId="146827F5">
            <wp:extent cx="5943600" cy="17487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748790"/>
                    </a:xfrm>
                    <a:prstGeom prst="rect">
                      <a:avLst/>
                    </a:prstGeom>
                  </pic:spPr>
                </pic:pic>
              </a:graphicData>
            </a:graphic>
          </wp:inline>
        </w:drawing>
      </w:r>
    </w:p>
    <w:p w14:paraId="2ACF7AFA" w14:textId="77777777" w:rsidR="009E1860" w:rsidRDefault="009E1860" w:rsidP="009E1860">
      <w:pPr>
        <w:spacing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    PY –Patient-Year (pacientë-vite)</w:t>
      </w:r>
    </w:p>
    <w:p w14:paraId="74AD8E5A" w14:textId="77777777" w:rsidR="009E1860" w:rsidRPr="00D0116F" w:rsidRDefault="009E1860" w:rsidP="009E1860">
      <w:pPr>
        <w:spacing w:line="240" w:lineRule="auto"/>
        <w:textAlignment w:val="baseline"/>
        <w:rPr>
          <w:rFonts w:eastAsia="Times New Roman" w:cstheme="minorHAnsi"/>
          <w:b/>
          <w:bCs/>
          <w:color w:val="565656"/>
          <w:sz w:val="24"/>
          <w:szCs w:val="24"/>
        </w:rPr>
      </w:pPr>
      <w:r w:rsidRPr="00D0116F">
        <w:rPr>
          <w:rFonts w:eastAsia="Times New Roman" w:cstheme="minorHAnsi"/>
          <w:b/>
          <w:bCs/>
          <w:color w:val="565656"/>
          <w:sz w:val="24"/>
          <w:szCs w:val="24"/>
        </w:rPr>
        <w:t xml:space="preserve"> Rezultatet renale në pacientët me FA dhe sëmundje renale në studimin CALLIPER (187)</w:t>
      </w:r>
    </w:p>
    <w:p w14:paraId="413B021D" w14:textId="77777777" w:rsidR="009E1860" w:rsidRDefault="009E1860" w:rsidP="009E1860">
      <w:pPr>
        <w:spacing w:beforeAutospacing="1" w:afterAutospacing="1" w:line="240" w:lineRule="auto"/>
        <w:textAlignment w:val="baseline"/>
        <w:outlineLvl w:val="3"/>
        <w:rPr>
          <w:rFonts w:eastAsia="Times New Roman" w:cstheme="minorHAnsi"/>
          <w:b/>
          <w:sz w:val="24"/>
          <w:szCs w:val="24"/>
        </w:rPr>
      </w:pPr>
    </w:p>
    <w:p w14:paraId="0FCCF046" w14:textId="77777777" w:rsidR="009E1860" w:rsidRPr="006974B1" w:rsidRDefault="009E1860" w:rsidP="009E1860">
      <w:pPr>
        <w:spacing w:beforeAutospacing="1" w:afterAutospacing="1" w:line="240" w:lineRule="auto"/>
        <w:textAlignment w:val="baseline"/>
        <w:outlineLvl w:val="3"/>
        <w:rPr>
          <w:rFonts w:eastAsia="Times New Roman" w:cstheme="minorHAnsi"/>
          <w:b/>
          <w:sz w:val="24"/>
          <w:szCs w:val="24"/>
        </w:rPr>
      </w:pPr>
      <w:r w:rsidRPr="006974B1">
        <w:rPr>
          <w:rFonts w:eastAsia="Times New Roman" w:cstheme="minorHAnsi"/>
          <w:b/>
          <w:sz w:val="24"/>
          <w:szCs w:val="24"/>
        </w:rPr>
        <w:t>RELOADED</w:t>
      </w:r>
    </w:p>
    <w:p w14:paraId="442A69D2" w14:textId="77777777" w:rsidR="009E1860" w:rsidRPr="007F764F" w:rsidRDefault="009E1860" w:rsidP="009E1860">
      <w:pPr>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Studimi RELOADED analizoi të dhënat e pacient</w:t>
      </w:r>
      <w:r>
        <w:rPr>
          <w:rFonts w:eastAsia="Times New Roman" w:cstheme="minorHAnsi"/>
          <w:color w:val="565656"/>
          <w:sz w:val="24"/>
          <w:szCs w:val="24"/>
        </w:rPr>
        <w:t>ëve me fibrilacion atrial</w:t>
      </w:r>
      <w:r w:rsidRPr="007F764F">
        <w:rPr>
          <w:rFonts w:eastAsia="Times New Roman" w:cstheme="minorHAnsi"/>
          <w:color w:val="565656"/>
          <w:sz w:val="24"/>
          <w:szCs w:val="24"/>
        </w:rPr>
        <w:t xml:space="preserve"> dhe sëmundje renale nga një bazë </w:t>
      </w:r>
      <w:r>
        <w:rPr>
          <w:rFonts w:eastAsia="Times New Roman" w:cstheme="minorHAnsi"/>
          <w:color w:val="565656"/>
          <w:sz w:val="24"/>
          <w:szCs w:val="24"/>
        </w:rPr>
        <w:t xml:space="preserve">të dhënash </w:t>
      </w:r>
      <w:r w:rsidRPr="007F764F">
        <w:rPr>
          <w:rFonts w:eastAsia="Times New Roman" w:cstheme="minorHAnsi"/>
          <w:color w:val="565656"/>
          <w:sz w:val="24"/>
          <w:szCs w:val="24"/>
        </w:rPr>
        <w:t>shëndetë</w:t>
      </w:r>
      <w:r>
        <w:rPr>
          <w:rFonts w:eastAsia="Times New Roman" w:cstheme="minorHAnsi"/>
          <w:color w:val="565656"/>
          <w:sz w:val="24"/>
          <w:szCs w:val="24"/>
        </w:rPr>
        <w:t>sore</w:t>
      </w:r>
      <w:r w:rsidRPr="007F764F">
        <w:rPr>
          <w:rFonts w:eastAsia="Times New Roman" w:cstheme="minorHAnsi"/>
          <w:color w:val="565656"/>
          <w:sz w:val="24"/>
          <w:szCs w:val="24"/>
        </w:rPr>
        <w:t xml:space="preserve"> gjerm</w:t>
      </w:r>
      <w:r>
        <w:rPr>
          <w:rFonts w:eastAsia="Times New Roman" w:cstheme="minorHAnsi"/>
          <w:color w:val="565656"/>
          <w:sz w:val="24"/>
          <w:szCs w:val="24"/>
        </w:rPr>
        <w:t>ane,</w:t>
      </w:r>
      <w:r w:rsidRPr="007F764F">
        <w:rPr>
          <w:rFonts w:eastAsia="Times New Roman" w:cstheme="minorHAnsi"/>
          <w:color w:val="565656"/>
          <w:sz w:val="24"/>
          <w:szCs w:val="24"/>
        </w:rPr>
        <w:t xml:space="preserve"> që filluan rivaroxaban (n=5121), apixaban (n=4750), edoxaban (n=682) ose fenprokumon VKA (n=7289).</w:t>
      </w:r>
      <w:r>
        <w:rPr>
          <w:rFonts w:eastAsia="Times New Roman" w:cstheme="minorHAnsi"/>
          <w:color w:val="565656"/>
          <w:sz w:val="24"/>
          <w:szCs w:val="24"/>
        </w:rPr>
        <w:t>(188)</w:t>
      </w:r>
      <w:r w:rsidRPr="007F764F">
        <w:rPr>
          <w:rFonts w:eastAsia="Times New Roman" w:cstheme="minorHAnsi"/>
          <w:color w:val="565656"/>
          <w:sz w:val="24"/>
          <w:szCs w:val="24"/>
        </w:rPr>
        <w:t xml:space="preserve"> Në pacientët me sëmundje renale ekzistuese, rivaroxaban dhe apixaban u shoqëruan me një efekt të dobishëm në problemet renale në krahasim me fenprokumonin. Nuk kishte të dhëna të mjaftueshme për të kryer analizën e plotë për edoxaban.</w:t>
      </w:r>
      <w:r>
        <w:rPr>
          <w:rFonts w:eastAsia="Times New Roman" w:cstheme="minorHAnsi"/>
          <w:color w:val="565656"/>
          <w:sz w:val="24"/>
          <w:szCs w:val="24"/>
        </w:rPr>
        <w:t xml:space="preserve"> </w:t>
      </w:r>
      <w:r w:rsidRPr="007F764F">
        <w:rPr>
          <w:rFonts w:eastAsia="Times New Roman" w:cstheme="minorHAnsi"/>
          <w:color w:val="565656"/>
          <w:sz w:val="24"/>
          <w:szCs w:val="24"/>
        </w:rPr>
        <w:t>(188)</w:t>
      </w:r>
    </w:p>
    <w:p w14:paraId="2A2A8691" w14:textId="77777777" w:rsidR="009E1860" w:rsidRPr="007F764F" w:rsidRDefault="009E1860" w:rsidP="009E1860">
      <w:pPr>
        <w:spacing w:after="150" w:line="240" w:lineRule="auto"/>
        <w:textAlignment w:val="baseline"/>
        <w:rPr>
          <w:rFonts w:eastAsia="Times New Roman" w:cstheme="minorHAnsi"/>
          <w:color w:val="565656"/>
          <w:sz w:val="24"/>
          <w:szCs w:val="24"/>
        </w:rPr>
      </w:pPr>
    </w:p>
    <w:p w14:paraId="3C792405" w14:textId="77777777" w:rsidR="009E1860" w:rsidRPr="00095C89" w:rsidRDefault="009E1860" w:rsidP="009E1860">
      <w:pPr>
        <w:spacing w:line="240" w:lineRule="auto"/>
        <w:textAlignment w:val="baseline"/>
        <w:rPr>
          <w:rFonts w:eastAsia="Times New Roman" w:cstheme="minorHAnsi"/>
          <w:b/>
          <w:bCs/>
          <w:color w:val="565656"/>
          <w:sz w:val="28"/>
          <w:szCs w:val="28"/>
          <w:vertAlign w:val="superscript"/>
        </w:rPr>
      </w:pPr>
      <w:r>
        <w:rPr>
          <w:rFonts w:eastAsia="Times New Roman" w:cstheme="minorHAnsi"/>
          <w:b/>
          <w:bCs/>
          <w:color w:val="565656"/>
          <w:sz w:val="24"/>
          <w:szCs w:val="24"/>
          <w:vertAlign w:val="superscript"/>
        </w:rPr>
        <w:t xml:space="preserve">                                  </w:t>
      </w:r>
      <w:r w:rsidRPr="00095C89">
        <w:rPr>
          <w:rFonts w:eastAsia="Times New Roman" w:cstheme="minorHAnsi"/>
          <w:b/>
          <w:bCs/>
          <w:color w:val="565656"/>
          <w:sz w:val="28"/>
          <w:szCs w:val="28"/>
          <w:vertAlign w:val="superscript"/>
        </w:rPr>
        <w:t xml:space="preserve">    Rezultatet në pacientët me fibrilacion atrial dhe sëmundje renale në studimin RELOADED (188)</w:t>
      </w:r>
    </w:p>
    <w:p w14:paraId="0E67A844" w14:textId="77777777" w:rsidR="009E1860" w:rsidRPr="00AF2F14" w:rsidRDefault="009E1860" w:rsidP="009E1860">
      <w:pPr>
        <w:spacing w:before="600" w:after="375" w:line="240" w:lineRule="auto"/>
        <w:textAlignment w:val="baseline"/>
        <w:outlineLvl w:val="2"/>
        <w:rPr>
          <w:rFonts w:eastAsia="Times New Roman" w:cstheme="minorHAnsi"/>
          <w:color w:val="AD0157"/>
          <w:sz w:val="24"/>
          <w:szCs w:val="24"/>
        </w:rPr>
      </w:pPr>
      <w:r w:rsidRPr="007F764F">
        <w:rPr>
          <w:rFonts w:cstheme="minorHAnsi"/>
          <w:noProof/>
          <w:sz w:val="24"/>
          <w:szCs w:val="24"/>
        </w:rPr>
        <w:lastRenderedPageBreak/>
        <w:drawing>
          <wp:inline distT="0" distB="0" distL="0" distR="0" wp14:anchorId="7AD1A0DE" wp14:editId="57154DB2">
            <wp:extent cx="6101131" cy="25774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6683" cy="2588260"/>
                    </a:xfrm>
                    <a:prstGeom prst="rect">
                      <a:avLst/>
                    </a:prstGeom>
                  </pic:spPr>
                </pic:pic>
              </a:graphicData>
            </a:graphic>
          </wp:inline>
        </w:drawing>
      </w:r>
    </w:p>
    <w:p w14:paraId="39AEE104" w14:textId="77777777" w:rsidR="009E1860" w:rsidRPr="006974B1" w:rsidRDefault="009E1860" w:rsidP="009E1860">
      <w:pPr>
        <w:spacing w:before="600" w:after="375" w:line="240" w:lineRule="auto"/>
        <w:textAlignment w:val="baseline"/>
        <w:outlineLvl w:val="2"/>
        <w:rPr>
          <w:rFonts w:eastAsia="Times New Roman" w:cstheme="minorHAnsi"/>
          <w:b/>
          <w:sz w:val="24"/>
          <w:szCs w:val="24"/>
        </w:rPr>
      </w:pPr>
      <w:r w:rsidRPr="006974B1">
        <w:rPr>
          <w:rFonts w:eastAsia="Times New Roman" w:cstheme="minorHAnsi"/>
          <w:b/>
          <w:sz w:val="24"/>
          <w:szCs w:val="24"/>
        </w:rPr>
        <w:t>3.4.3 Udhëzimet e trajtimit</w:t>
      </w:r>
    </w:p>
    <w:p w14:paraId="04FB25A8" w14:textId="77777777" w:rsidR="009E1860" w:rsidRPr="007F764F" w:rsidRDefault="009E1860" w:rsidP="009E1860">
      <w:pPr>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Udhëzuesit</w:t>
      </w:r>
      <w:r w:rsidRPr="007F764F">
        <w:rPr>
          <w:rFonts w:eastAsia="Times New Roman" w:cstheme="minorHAnsi"/>
          <w:color w:val="565656"/>
          <w:sz w:val="24"/>
          <w:szCs w:val="24"/>
        </w:rPr>
        <w:t xml:space="preserve"> 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w:t>
      </w:r>
      <w:r>
        <w:rPr>
          <w:rFonts w:eastAsia="Times New Roman" w:cstheme="minorHAnsi"/>
          <w:color w:val="565656"/>
          <w:sz w:val="24"/>
          <w:szCs w:val="24"/>
        </w:rPr>
        <w:t>ekomandojnë përdorimin e NOAC</w:t>
      </w:r>
      <w:r w:rsidRPr="007F764F">
        <w:rPr>
          <w:rFonts w:eastAsia="Times New Roman" w:cstheme="minorHAnsi"/>
          <w:color w:val="565656"/>
          <w:sz w:val="24"/>
          <w:szCs w:val="24"/>
        </w:rPr>
        <w:t xml:space="preserve"> </w:t>
      </w:r>
      <w:r>
        <w:rPr>
          <w:rFonts w:eastAsia="Times New Roman" w:cstheme="minorHAnsi"/>
          <w:color w:val="565656"/>
          <w:sz w:val="24"/>
          <w:szCs w:val="24"/>
        </w:rPr>
        <w:t>si të preferuar ndaj</w:t>
      </w:r>
      <w:r w:rsidRPr="007F764F">
        <w:rPr>
          <w:rFonts w:eastAsia="Times New Roman" w:cstheme="minorHAnsi"/>
          <w:color w:val="565656"/>
          <w:sz w:val="24"/>
          <w:szCs w:val="24"/>
        </w:rPr>
        <w:t xml:space="preserve"> VKA-</w:t>
      </w:r>
      <w:r>
        <w:rPr>
          <w:rFonts w:eastAsia="Times New Roman" w:cstheme="minorHAnsi"/>
          <w:color w:val="565656"/>
          <w:sz w:val="24"/>
          <w:szCs w:val="24"/>
        </w:rPr>
        <w:t>ve</w:t>
      </w:r>
      <w:r w:rsidRPr="007F764F">
        <w:rPr>
          <w:rFonts w:eastAsia="Times New Roman" w:cstheme="minorHAnsi"/>
          <w:color w:val="565656"/>
          <w:sz w:val="24"/>
          <w:szCs w:val="24"/>
        </w:rPr>
        <w:t xml:space="preserve"> për të reduktuar rrezikun e insultit cerebral</w:t>
      </w:r>
      <w:r>
        <w:rPr>
          <w:rFonts w:eastAsia="Times New Roman" w:cstheme="minorHAnsi"/>
          <w:color w:val="565656"/>
          <w:sz w:val="24"/>
          <w:szCs w:val="24"/>
        </w:rPr>
        <w:t xml:space="preserve"> në pacientët me fibrilacion atrial (përveç</w:t>
      </w:r>
      <w:r w:rsidRPr="007F764F">
        <w:rPr>
          <w:rFonts w:eastAsia="Times New Roman" w:cstheme="minorHAnsi"/>
          <w:color w:val="565656"/>
          <w:sz w:val="24"/>
          <w:szCs w:val="24"/>
        </w:rPr>
        <w:t xml:space="preserve"> </w:t>
      </w:r>
      <w:r>
        <w:rPr>
          <w:rFonts w:eastAsia="Times New Roman" w:cstheme="minorHAnsi"/>
          <w:color w:val="565656"/>
          <w:sz w:val="24"/>
          <w:szCs w:val="24"/>
        </w:rPr>
        <w:t xml:space="preserve">pacientëve me </w:t>
      </w:r>
      <w:r w:rsidRPr="007F764F">
        <w:rPr>
          <w:rFonts w:eastAsia="Times New Roman" w:cstheme="minorHAnsi"/>
          <w:color w:val="565656"/>
          <w:sz w:val="24"/>
          <w:szCs w:val="24"/>
        </w:rPr>
        <w:t xml:space="preserve">rrezik të ulët për </w:t>
      </w:r>
      <w:r>
        <w:rPr>
          <w:rFonts w:eastAsia="Times New Roman" w:cstheme="minorHAnsi"/>
          <w:color w:val="565656"/>
          <w:sz w:val="24"/>
          <w:szCs w:val="24"/>
        </w:rPr>
        <w:t>insult c</w:t>
      </w:r>
      <w:r w:rsidRPr="007F764F">
        <w:rPr>
          <w:rFonts w:eastAsia="Times New Roman" w:cstheme="minorHAnsi"/>
          <w:color w:val="565656"/>
          <w:sz w:val="24"/>
          <w:szCs w:val="24"/>
        </w:rPr>
        <w:t>erebrale [sipas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 xml:space="preserve">-VASc score] ose </w:t>
      </w:r>
      <w:r>
        <w:rPr>
          <w:rFonts w:eastAsia="Times New Roman" w:cstheme="minorHAnsi"/>
          <w:color w:val="565656"/>
          <w:sz w:val="24"/>
          <w:szCs w:val="24"/>
        </w:rPr>
        <w:t>pacientëve që kanë kundërindikim</w:t>
      </w:r>
      <w:r w:rsidRPr="007F764F">
        <w:rPr>
          <w:rFonts w:eastAsia="Times New Roman" w:cstheme="minorHAnsi"/>
          <w:color w:val="565656"/>
          <w:sz w:val="24"/>
          <w:szCs w:val="24"/>
        </w:rPr>
        <w:t xml:space="preserve"> për terapinë </w:t>
      </w:r>
      <w:r>
        <w:rPr>
          <w:rFonts w:eastAsia="Times New Roman" w:cstheme="minorHAnsi"/>
          <w:color w:val="565656"/>
          <w:sz w:val="24"/>
          <w:szCs w:val="24"/>
        </w:rPr>
        <w:t>me antikoagulantë</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1E05149"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059B1A4A" w14:textId="77777777" w:rsidR="009E1860" w:rsidRDefault="009E1860" w:rsidP="009E1860">
      <w:pPr>
        <w:spacing w:after="0" w:line="240" w:lineRule="auto"/>
        <w:textAlignment w:val="baseline"/>
        <w:rPr>
          <w:rFonts w:eastAsia="Times New Roman" w:cstheme="minorHAnsi"/>
          <w:color w:val="565656"/>
          <w:sz w:val="24"/>
          <w:szCs w:val="24"/>
        </w:rPr>
      </w:pPr>
      <w:bookmarkStart w:id="2" w:name="_Hlk90984062"/>
      <w:r w:rsidRPr="007F764F">
        <w:rPr>
          <w:rFonts w:eastAsia="Times New Roman" w:cstheme="minorHAnsi"/>
          <w:color w:val="565656"/>
          <w:sz w:val="24"/>
          <w:szCs w:val="24"/>
        </w:rPr>
        <w:t xml:space="preserve">Në dritën e provave që mbështesin efektet e NOAC-ëve në ruajtjen e funksionit renal, udhëzimet e Kolegjit Amerikan të Kardiologjisë / Shoqatës Amerikane të Zemrës / Shoqatës së Ritmit të Zemrës 2019 përmendin se NOAC-ët  - veçanërisht dabigatran dhe rivaroxaban – reduktojnë rënien e funksionit renal me kohën krahasuar me </w:t>
      </w:r>
      <w:bookmarkEnd w:id="2"/>
      <w:r>
        <w:rPr>
          <w:rFonts w:eastAsia="Times New Roman" w:cstheme="minorHAnsi"/>
          <w:color w:val="565656"/>
          <w:sz w:val="24"/>
          <w:szCs w:val="24"/>
        </w:rPr>
        <w:t>antivitaminikët K</w:t>
      </w:r>
      <w:r w:rsidRPr="007F764F">
        <w:rPr>
          <w:rFonts w:eastAsia="Times New Roman" w:cstheme="minorHAnsi"/>
          <w:color w:val="565656"/>
          <w:sz w:val="24"/>
          <w:szCs w:val="24"/>
        </w:rPr>
        <w:t>.(62)</w:t>
      </w:r>
      <w:r w:rsidRPr="007F764F">
        <w:rPr>
          <w:rFonts w:eastAsia="Times New Roman" w:cstheme="minorHAnsi"/>
          <w:color w:val="565656"/>
          <w:sz w:val="24"/>
          <w:szCs w:val="24"/>
        </w:rPr>
        <w:br/>
        <w:t>Për më tepër, për të llogaritur shkallët e ndryshme të mosfunksionimit renal dhe gjasat e rënies së funskionit renal me kohën, si Kolegji Amerikan i Kardiologjisë/Sho</w:t>
      </w:r>
      <w:r>
        <w:rPr>
          <w:rFonts w:eastAsia="Times New Roman" w:cstheme="minorHAnsi"/>
          <w:color w:val="565656"/>
          <w:sz w:val="24"/>
          <w:szCs w:val="24"/>
        </w:rPr>
        <w:t>qata Amerikane e Zemrës/Shoqata</w:t>
      </w:r>
      <w:r w:rsidRPr="007F764F">
        <w:rPr>
          <w:rFonts w:eastAsia="Times New Roman" w:cstheme="minorHAnsi"/>
          <w:color w:val="565656"/>
          <w:sz w:val="24"/>
          <w:szCs w:val="24"/>
        </w:rPr>
        <w:t xml:space="preserve"> e Ritmit të Zemrës ashtu edhe udhëzimet e Shoqatës Evropiane të Kardiologjisë rekomandojnë vlerësimin e rregullt të funksionit renal nëpërmjet vlerësimit të klirensit të kreatininës ose kreatit në serum pë</w:t>
      </w:r>
      <w:r>
        <w:rPr>
          <w:rFonts w:eastAsia="Times New Roman" w:cstheme="minorHAnsi"/>
          <w:color w:val="565656"/>
          <w:sz w:val="24"/>
          <w:szCs w:val="24"/>
        </w:rPr>
        <w:t>r  të gjithë pacientët me fibrilacion atrial</w:t>
      </w:r>
      <w:r w:rsidRPr="007F764F">
        <w:rPr>
          <w:rFonts w:eastAsia="Times New Roman" w:cstheme="minorHAnsi"/>
          <w:color w:val="565656"/>
          <w:sz w:val="24"/>
          <w:szCs w:val="24"/>
        </w:rPr>
        <w:t xml:space="preserve">, për të përcaktuar dozën e terapisë me NOAC dhe për të zbuluar </w:t>
      </w:r>
      <w:r>
        <w:rPr>
          <w:rFonts w:eastAsia="Times New Roman" w:cstheme="minorHAnsi"/>
          <w:color w:val="565656"/>
          <w:sz w:val="24"/>
          <w:szCs w:val="24"/>
        </w:rPr>
        <w:t>sëmundjen renale kronike</w:t>
      </w:r>
      <w:r w:rsidRPr="007F764F">
        <w:rPr>
          <w:rFonts w:eastAsia="Times New Roman" w:cstheme="minorHAnsi"/>
          <w:color w:val="565656"/>
          <w:sz w:val="24"/>
          <w:szCs w:val="24"/>
        </w:rPr>
        <w:t xml:space="preserve"> të mundshme. (62,123) Rekomandohet që funksioni renal të vlerësohet përpara fillimit të NOAC dhe të</w:t>
      </w:r>
      <w:r>
        <w:rPr>
          <w:rFonts w:eastAsia="Times New Roman" w:cstheme="minorHAnsi"/>
          <w:color w:val="565656"/>
          <w:sz w:val="24"/>
          <w:szCs w:val="24"/>
        </w:rPr>
        <w:t xml:space="preserve"> paktën çdo vit më pas. (62,123)</w:t>
      </w:r>
    </w:p>
    <w:p w14:paraId="2A4C4846" w14:textId="77777777" w:rsidR="009E1860" w:rsidRDefault="009E1860" w:rsidP="009E1860">
      <w:pPr>
        <w:spacing w:after="0" w:line="240" w:lineRule="auto"/>
        <w:textAlignment w:val="baseline"/>
        <w:rPr>
          <w:rFonts w:eastAsia="Times New Roman" w:cstheme="minorHAnsi"/>
          <w:color w:val="565656"/>
          <w:sz w:val="24"/>
          <w:szCs w:val="24"/>
        </w:rPr>
      </w:pPr>
    </w:p>
    <w:p w14:paraId="4B7D7288" w14:textId="77777777" w:rsidR="009E1860" w:rsidRPr="007F764F" w:rsidRDefault="009E1860" w:rsidP="009E1860">
      <w:pPr>
        <w:spacing w:after="0" w:line="240" w:lineRule="auto"/>
        <w:textAlignment w:val="baseline"/>
        <w:rPr>
          <w:rFonts w:eastAsia="Times New Roman" w:cstheme="minorHAnsi"/>
          <w:color w:val="565656"/>
          <w:sz w:val="24"/>
          <w:szCs w:val="24"/>
        </w:rPr>
      </w:pPr>
    </w:p>
    <w:p w14:paraId="269FA1BA" w14:textId="77777777" w:rsidR="009E1860" w:rsidRPr="00FD05C6" w:rsidRDefault="009E1860" w:rsidP="009E1860">
      <w:pPr>
        <w:suppressAutoHyphens/>
        <w:spacing w:after="0" w:line="240" w:lineRule="auto"/>
        <w:textAlignment w:val="baseline"/>
        <w:rPr>
          <w:rFonts w:eastAsia="Times New Roman" w:cstheme="minorHAnsi"/>
          <w:b/>
          <w:sz w:val="28"/>
          <w:szCs w:val="28"/>
        </w:rPr>
      </w:pPr>
      <w:r w:rsidRPr="00FD05C6">
        <w:rPr>
          <w:rFonts w:eastAsia="Times New Roman" w:cstheme="minorHAnsi"/>
          <w:b/>
          <w:sz w:val="28"/>
          <w:szCs w:val="28"/>
        </w:rPr>
        <w:t>3.5 Pacientët e moshuar me fibrilacion atrial</w:t>
      </w:r>
    </w:p>
    <w:p w14:paraId="550C19A3" w14:textId="77777777" w:rsidR="009E1860" w:rsidRPr="00FD05C6" w:rsidRDefault="009E1860" w:rsidP="009E1860">
      <w:pPr>
        <w:suppressAutoHyphens/>
        <w:spacing w:after="0" w:line="240" w:lineRule="auto"/>
        <w:textAlignment w:val="baseline"/>
        <w:rPr>
          <w:rFonts w:eastAsia="Times New Roman" w:cstheme="minorHAnsi"/>
          <w:b/>
          <w:sz w:val="28"/>
          <w:szCs w:val="28"/>
        </w:rPr>
      </w:pPr>
    </w:p>
    <w:p w14:paraId="4C405D7A" w14:textId="77777777" w:rsidR="009E1860" w:rsidRPr="00FD05C6"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sz w:val="24"/>
          <w:szCs w:val="24"/>
        </w:rPr>
        <w:t>3.5.1 Epidemiologjia</w:t>
      </w:r>
    </w:p>
    <w:p w14:paraId="5C4EF44D" w14:textId="77777777" w:rsidR="009E1860" w:rsidRDefault="009E1860" w:rsidP="009E1860">
      <w:pPr>
        <w:suppressAutoHyphens/>
        <w:spacing w:after="0" w:line="240" w:lineRule="auto"/>
        <w:textAlignment w:val="baseline"/>
        <w:rPr>
          <w:rFonts w:eastAsia="Times New Roman" w:cstheme="minorHAnsi"/>
          <w:b/>
          <w:color w:val="AD0157"/>
          <w:sz w:val="24"/>
          <w:szCs w:val="24"/>
        </w:rPr>
      </w:pPr>
    </w:p>
    <w:p w14:paraId="5BFF05CA" w14:textId="77777777" w:rsidR="009E1860" w:rsidRPr="007F764F" w:rsidRDefault="009E1860" w:rsidP="009E1860">
      <w:pPr>
        <w:suppressAutoHyphens/>
        <w:spacing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Mosha e avancuar është një faktor rreziku i spikatur për fibrilacionin atrial.</w:t>
      </w:r>
      <w:r>
        <w:rPr>
          <w:rFonts w:eastAsia="Times New Roman" w:cstheme="minorHAnsi"/>
          <w:color w:val="565656"/>
          <w:sz w:val="24"/>
          <w:szCs w:val="24"/>
        </w:rPr>
        <w:t xml:space="preserve"> </w:t>
      </w:r>
      <w:r w:rsidRPr="007F764F">
        <w:rPr>
          <w:rFonts w:eastAsia="Times New Roman" w:cstheme="minorHAnsi"/>
          <w:color w:val="565656"/>
          <w:sz w:val="24"/>
          <w:szCs w:val="24"/>
        </w:rPr>
        <w:t>(189) Për më te</w:t>
      </w:r>
      <w:r>
        <w:rPr>
          <w:rFonts w:eastAsia="Times New Roman" w:cstheme="minorHAnsi"/>
          <w:color w:val="565656"/>
          <w:sz w:val="24"/>
          <w:szCs w:val="24"/>
        </w:rPr>
        <w:t>për, në mesin e pacientëve me fibrilacion atrial</w:t>
      </w:r>
      <w:r w:rsidRPr="007F764F">
        <w:rPr>
          <w:rFonts w:eastAsia="Times New Roman" w:cstheme="minorHAnsi"/>
          <w:color w:val="565656"/>
          <w:sz w:val="24"/>
          <w:szCs w:val="24"/>
        </w:rPr>
        <w:t xml:space="preserve">, mosha e rrit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me 1.5 herë </w:t>
      </w:r>
      <w:r>
        <w:rPr>
          <w:rFonts w:eastAsia="Times New Roman" w:cstheme="minorHAnsi"/>
          <w:color w:val="565656"/>
          <w:sz w:val="24"/>
          <w:szCs w:val="24"/>
        </w:rPr>
        <w:t>çdo 10 vjet. (</w:t>
      </w:r>
      <w:r w:rsidRPr="007F764F">
        <w:rPr>
          <w:rFonts w:eastAsia="Times New Roman" w:cstheme="minorHAnsi"/>
          <w:color w:val="565656"/>
          <w:sz w:val="24"/>
          <w:szCs w:val="24"/>
        </w:rPr>
        <w:t xml:space="preserve">190) Kjo lidhet me komplikimet që ndodhin si pasojë e moshës, të tilla si dobësia, dëmtimi i veshkave, </w:t>
      </w:r>
      <w:r>
        <w:rPr>
          <w:rFonts w:eastAsia="Times New Roman" w:cstheme="minorHAnsi"/>
          <w:color w:val="565656"/>
          <w:sz w:val="24"/>
          <w:szCs w:val="24"/>
        </w:rPr>
        <w:t>insuficiance kardiake</w:t>
      </w:r>
      <w:r w:rsidRPr="007F764F">
        <w:rPr>
          <w:rFonts w:eastAsia="Times New Roman" w:cstheme="minorHAnsi"/>
          <w:color w:val="565656"/>
          <w:sz w:val="24"/>
          <w:szCs w:val="24"/>
        </w:rPr>
        <w:t xml:space="preserve">, hipertensioni dhe dëmtimet e njohjes (dëmtimet konjitive), të cilat përkeqësojnë prognozën e pacientëve me </w:t>
      </w:r>
      <w:r>
        <w:rPr>
          <w:rFonts w:eastAsia="Times New Roman" w:cstheme="minorHAnsi"/>
          <w:color w:val="565656"/>
          <w:sz w:val="24"/>
          <w:szCs w:val="24"/>
        </w:rPr>
        <w:t>fibrilacion atrial</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191,192) Pacientët e moshuar mund të jetojnë në mënyrë të pavarur </w:t>
      </w:r>
      <w:r>
        <w:rPr>
          <w:rFonts w:eastAsia="Times New Roman" w:cstheme="minorHAnsi"/>
          <w:color w:val="565656"/>
          <w:sz w:val="24"/>
          <w:szCs w:val="24"/>
        </w:rPr>
        <w:t xml:space="preserve">nga fëmijët e tyre </w:t>
      </w:r>
      <w:r w:rsidRPr="007F764F">
        <w:rPr>
          <w:rFonts w:eastAsia="Times New Roman" w:cstheme="minorHAnsi"/>
          <w:color w:val="565656"/>
          <w:sz w:val="24"/>
          <w:szCs w:val="24"/>
        </w:rPr>
        <w:t xml:space="preserve">dhe </w:t>
      </w:r>
      <w:r>
        <w:rPr>
          <w:rFonts w:eastAsia="Times New Roman" w:cstheme="minorHAnsi"/>
          <w:color w:val="565656"/>
          <w:sz w:val="24"/>
          <w:szCs w:val="24"/>
        </w:rPr>
        <w:t xml:space="preserve">insulti cerebral </w:t>
      </w:r>
      <w:r w:rsidRPr="007F764F">
        <w:rPr>
          <w:rFonts w:eastAsia="Times New Roman" w:cstheme="minorHAnsi"/>
          <w:color w:val="565656"/>
          <w:sz w:val="24"/>
          <w:szCs w:val="24"/>
        </w:rPr>
        <w:t xml:space="preserve"> ka të ngjarë të ndryshojë jetët e këtyre pacientëve në mënyrë dramati</w:t>
      </w:r>
      <w:r>
        <w:rPr>
          <w:rFonts w:eastAsia="Times New Roman" w:cstheme="minorHAnsi"/>
          <w:color w:val="565656"/>
          <w:sz w:val="24"/>
          <w:szCs w:val="24"/>
        </w:rPr>
        <w:t xml:space="preserve">ke. Prandaj, të moshuarit me fibrilacion atrial </w:t>
      </w:r>
      <w:r w:rsidRPr="007F764F">
        <w:rPr>
          <w:rFonts w:eastAsia="Times New Roman" w:cstheme="minorHAnsi"/>
          <w:color w:val="565656"/>
          <w:sz w:val="24"/>
          <w:szCs w:val="24"/>
        </w:rPr>
        <w:t>përfaqësojnë një grup të madh pacientësh me rrezik të lartë që duhet t'i mbrojmë, dhe që në rang global përqindja e tyre pritet vetëm të rritet.</w:t>
      </w:r>
      <w:r>
        <w:rPr>
          <w:rFonts w:eastAsia="Times New Roman" w:cstheme="minorHAnsi"/>
          <w:color w:val="565656"/>
          <w:sz w:val="24"/>
          <w:szCs w:val="24"/>
        </w:rPr>
        <w:t xml:space="preserve"> </w:t>
      </w:r>
      <w:r w:rsidRPr="007F764F">
        <w:rPr>
          <w:rFonts w:eastAsia="Times New Roman" w:cstheme="minorHAnsi"/>
          <w:color w:val="565656"/>
          <w:sz w:val="24"/>
          <w:szCs w:val="24"/>
        </w:rPr>
        <w:t>(189)</w:t>
      </w:r>
    </w:p>
    <w:p w14:paraId="618DEBB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Për shkak të rrezikut të tyre të lartë për </w:t>
      </w:r>
      <w:r>
        <w:rPr>
          <w:rFonts w:eastAsia="Times New Roman" w:cstheme="minorHAnsi"/>
          <w:color w:val="565656"/>
          <w:sz w:val="24"/>
          <w:szCs w:val="24"/>
        </w:rPr>
        <w:t>insult</w:t>
      </w:r>
      <w:r w:rsidRPr="007F764F">
        <w:rPr>
          <w:rFonts w:eastAsia="Times New Roman" w:cstheme="minorHAnsi"/>
          <w:color w:val="565656"/>
          <w:sz w:val="24"/>
          <w:szCs w:val="24"/>
        </w:rPr>
        <w:t xml:space="preserve"> cerebral, pacientët e moshuar me </w:t>
      </w:r>
      <w:r>
        <w:rPr>
          <w:rFonts w:eastAsia="Times New Roman" w:cstheme="minorHAnsi"/>
          <w:color w:val="565656"/>
          <w:sz w:val="24"/>
          <w:szCs w:val="24"/>
        </w:rPr>
        <w:t>fibrilacion atrial</w:t>
      </w:r>
      <w:r w:rsidRPr="007F764F">
        <w:rPr>
          <w:rFonts w:eastAsia="Times New Roman" w:cstheme="minorHAnsi"/>
          <w:color w:val="565656"/>
          <w:sz w:val="24"/>
          <w:szCs w:val="24"/>
        </w:rPr>
        <w:t xml:space="preserve"> mund të përfitojnë shumë nga antikoagulimi dhe studimet klinike sugjerojnë se këto përfitime tejkalojnë rrezikun e hemorragjisë. Pavarësisht kësaj, për shkak të frikës për hemorragji, </w:t>
      </w:r>
      <w:r>
        <w:rPr>
          <w:rFonts w:eastAsia="Times New Roman" w:cstheme="minorHAnsi"/>
          <w:color w:val="565656"/>
          <w:sz w:val="24"/>
          <w:szCs w:val="24"/>
        </w:rPr>
        <w:t xml:space="preserve">ka një hezitim nga ana e mjekëve për të përshkruar antikoagulantë tek pacientët e moshuar edhe atëherë kur e kanë fuqimisht të indikuar. </w:t>
      </w:r>
      <w:r w:rsidRPr="007F764F">
        <w:rPr>
          <w:rFonts w:eastAsia="Times New Roman" w:cstheme="minorHAnsi"/>
          <w:color w:val="565656"/>
          <w:sz w:val="24"/>
          <w:szCs w:val="24"/>
        </w:rPr>
        <w:t>(190,191,123)</w:t>
      </w:r>
    </w:p>
    <w:p w14:paraId="1C99142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7A66D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675298FA" wp14:editId="66C39D90">
            <wp:extent cx="5943600" cy="34550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455035"/>
                    </a:xfrm>
                    <a:prstGeom prst="rect">
                      <a:avLst/>
                    </a:prstGeom>
                  </pic:spPr>
                </pic:pic>
              </a:graphicData>
            </a:graphic>
          </wp:inline>
        </w:drawing>
      </w:r>
    </w:p>
    <w:p w14:paraId="06B7A88D"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r>
      <w:r>
        <w:rPr>
          <w:rFonts w:eastAsia="Times New Roman" w:cstheme="minorHAnsi"/>
          <w:color w:val="565656"/>
          <w:sz w:val="24"/>
          <w:szCs w:val="24"/>
        </w:rPr>
        <w:t>Insulti</w:t>
      </w:r>
      <w:r w:rsidRPr="007F764F">
        <w:rPr>
          <w:rFonts w:eastAsia="Times New Roman" w:cstheme="minorHAnsi"/>
          <w:color w:val="565656"/>
          <w:sz w:val="24"/>
          <w:szCs w:val="24"/>
        </w:rPr>
        <w:t xml:space="preserve"> cerebral si pasojë</w:t>
      </w:r>
      <w:r>
        <w:rPr>
          <w:rFonts w:eastAsia="Times New Roman" w:cstheme="minorHAnsi"/>
          <w:color w:val="565656"/>
          <w:sz w:val="24"/>
          <w:szCs w:val="24"/>
        </w:rPr>
        <w:t xml:space="preserve"> e fibrilacionit atrial </w:t>
      </w:r>
      <w:r w:rsidRPr="007F764F">
        <w:rPr>
          <w:rFonts w:eastAsia="Times New Roman" w:cstheme="minorHAnsi"/>
          <w:color w:val="565656"/>
          <w:sz w:val="24"/>
          <w:szCs w:val="24"/>
        </w:rPr>
        <w:t xml:space="preserve">është kryesisht </w:t>
      </w:r>
      <w:r>
        <w:rPr>
          <w:rFonts w:eastAsia="Times New Roman" w:cstheme="minorHAnsi"/>
          <w:color w:val="565656"/>
          <w:sz w:val="24"/>
          <w:szCs w:val="24"/>
        </w:rPr>
        <w:t>i</w:t>
      </w:r>
      <w:r w:rsidRPr="007F764F">
        <w:rPr>
          <w:rFonts w:eastAsia="Times New Roman" w:cstheme="minorHAnsi"/>
          <w:color w:val="565656"/>
          <w:sz w:val="24"/>
          <w:szCs w:val="24"/>
        </w:rPr>
        <w:t xml:space="preserve"> parandaluesh</w:t>
      </w:r>
      <w:r>
        <w:rPr>
          <w:rFonts w:eastAsia="Times New Roman" w:cstheme="minorHAnsi"/>
          <w:color w:val="565656"/>
          <w:sz w:val="24"/>
          <w:szCs w:val="24"/>
        </w:rPr>
        <w:t xml:space="preserve">ëm </w:t>
      </w:r>
      <w:r w:rsidRPr="007F764F">
        <w:rPr>
          <w:rFonts w:eastAsia="Times New Roman" w:cstheme="minorHAnsi"/>
          <w:color w:val="565656"/>
          <w:sz w:val="24"/>
          <w:szCs w:val="24"/>
        </w:rPr>
        <w:t>(193) me trajtimin e duhur</w:t>
      </w:r>
      <w:r>
        <w:rPr>
          <w:rFonts w:eastAsia="Times New Roman" w:cstheme="minorHAnsi"/>
          <w:color w:val="565656"/>
          <w:sz w:val="24"/>
          <w:szCs w:val="24"/>
        </w:rPr>
        <w:t>,</w:t>
      </w:r>
      <w:r w:rsidRPr="007F764F">
        <w:rPr>
          <w:rFonts w:eastAsia="Times New Roman" w:cstheme="minorHAnsi"/>
          <w:color w:val="565656"/>
          <w:sz w:val="24"/>
          <w:szCs w:val="24"/>
        </w:rPr>
        <w:t xml:space="preserve"> prandaj është me rëndësi të madhe të mbrohet pavarësia dhe e ardhmja e të moshuarve që jetojnë me </w:t>
      </w:r>
      <w:r>
        <w:rPr>
          <w:rFonts w:eastAsia="Times New Roman" w:cstheme="minorHAnsi"/>
          <w:color w:val="565656"/>
          <w:sz w:val="24"/>
          <w:szCs w:val="24"/>
        </w:rPr>
        <w:t>fibrilacion atrial</w:t>
      </w:r>
      <w:r w:rsidRPr="007F764F">
        <w:rPr>
          <w:rFonts w:eastAsia="Times New Roman" w:cstheme="minorHAnsi"/>
          <w:color w:val="565656"/>
          <w:sz w:val="24"/>
          <w:szCs w:val="24"/>
        </w:rPr>
        <w:t>.</w:t>
      </w:r>
    </w:p>
    <w:p w14:paraId="4EC9E21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1F38764" w14:textId="77777777" w:rsidR="009E1860" w:rsidRDefault="009E1860" w:rsidP="009E1860">
      <w:pPr>
        <w:suppressAutoHyphens/>
        <w:spacing w:after="0" w:line="240" w:lineRule="auto"/>
        <w:textAlignment w:val="baseline"/>
        <w:rPr>
          <w:rFonts w:eastAsia="Times New Roman" w:cstheme="minorHAnsi"/>
          <w:b/>
          <w:sz w:val="24"/>
          <w:szCs w:val="24"/>
        </w:rPr>
      </w:pPr>
      <w:r w:rsidRPr="00FD05C6">
        <w:rPr>
          <w:rFonts w:eastAsia="Times New Roman" w:cstheme="minorHAnsi"/>
          <w:b/>
          <w:color w:val="565656"/>
          <w:sz w:val="24"/>
          <w:szCs w:val="24"/>
        </w:rPr>
        <w:t xml:space="preserve">3.5.2 </w:t>
      </w:r>
      <w:r w:rsidRPr="00FD05C6">
        <w:rPr>
          <w:rFonts w:eastAsia="Times New Roman" w:cstheme="minorHAnsi"/>
          <w:b/>
          <w:sz w:val="24"/>
          <w:szCs w:val="24"/>
        </w:rPr>
        <w:t>Evidenca klinike</w:t>
      </w:r>
    </w:p>
    <w:p w14:paraId="669DC48B" w14:textId="77777777" w:rsidR="009E1860" w:rsidRPr="00FD05C6" w:rsidRDefault="009E1860" w:rsidP="009E1860">
      <w:pPr>
        <w:suppressAutoHyphens/>
        <w:spacing w:after="0" w:line="240" w:lineRule="auto"/>
        <w:textAlignment w:val="baseline"/>
        <w:rPr>
          <w:rFonts w:eastAsia="Times New Roman" w:cstheme="minorHAnsi"/>
          <w:b/>
          <w:sz w:val="24"/>
          <w:szCs w:val="24"/>
        </w:rPr>
      </w:pPr>
    </w:p>
    <w:p w14:paraId="4D89F1B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Subanalizat e pacientëve me fibrilacion atrial</w:t>
      </w:r>
      <w:r w:rsidRPr="007F764F">
        <w:rPr>
          <w:rFonts w:eastAsia="Times New Roman" w:cstheme="minorHAnsi"/>
          <w:color w:val="565656"/>
          <w:sz w:val="24"/>
          <w:szCs w:val="24"/>
        </w:rPr>
        <w:t xml:space="preserve"> të moshës ≥75 vjeç në studimet klinike të fazës III të antikoagulantëve </w:t>
      </w:r>
      <w:r>
        <w:rPr>
          <w:rFonts w:eastAsia="Times New Roman" w:cstheme="minorHAnsi"/>
          <w:color w:val="565656"/>
          <w:sz w:val="24"/>
          <w:szCs w:val="24"/>
        </w:rPr>
        <w:t xml:space="preserve">të rinj </w:t>
      </w:r>
      <w:r w:rsidRPr="007F764F">
        <w:rPr>
          <w:rFonts w:eastAsia="Times New Roman" w:cstheme="minorHAnsi"/>
          <w:color w:val="565656"/>
          <w:sz w:val="24"/>
          <w:szCs w:val="24"/>
        </w:rPr>
        <w:t>oralë (NOACs; rivaroxaban, apixaban, dabigatran ose edoxaban) treguan se profilet e efikasitetit dhe sigurisë së antikoagul</w:t>
      </w:r>
      <w:r>
        <w:rPr>
          <w:rFonts w:eastAsia="Times New Roman" w:cstheme="minorHAnsi"/>
          <w:color w:val="565656"/>
          <w:sz w:val="24"/>
          <w:szCs w:val="24"/>
        </w:rPr>
        <w:t>antit</w:t>
      </w:r>
      <w:r w:rsidRPr="007F764F">
        <w:rPr>
          <w:rFonts w:eastAsia="Times New Roman" w:cstheme="minorHAnsi"/>
          <w:color w:val="565656"/>
          <w:sz w:val="24"/>
          <w:szCs w:val="24"/>
        </w:rPr>
        <w:t xml:space="preserve"> nuk ndryshonin me moshën.</w:t>
      </w:r>
      <w:r>
        <w:rPr>
          <w:rFonts w:eastAsia="Times New Roman" w:cstheme="minorHAnsi"/>
          <w:color w:val="565656"/>
          <w:sz w:val="24"/>
          <w:szCs w:val="24"/>
        </w:rPr>
        <w:t xml:space="preserve"> </w:t>
      </w:r>
      <w:r w:rsidRPr="007F764F">
        <w:rPr>
          <w:rFonts w:eastAsia="Times New Roman" w:cstheme="minorHAnsi"/>
          <w:color w:val="565656"/>
          <w:sz w:val="24"/>
          <w:szCs w:val="24"/>
        </w:rPr>
        <w:t>(194-197) Një meta-analizë e këtyre studimeve klinike konfirmoi më tej këto gjetje.(70)</w:t>
      </w:r>
    </w:p>
    <w:p w14:paraId="400A14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5DBD8BF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r w:rsidRPr="00FD05C6">
        <w:rPr>
          <w:rFonts w:eastAsia="Times New Roman" w:cstheme="minorHAnsi"/>
          <w:color w:val="565656"/>
          <w:sz w:val="24"/>
          <w:szCs w:val="24"/>
        </w:rPr>
        <w:t>Me 6215 pacientë të moshuar studimi ROCKET AF i rivaroxaban përfshiu përqindjen më të lartë të pacientëve të moshuar (të moshës</w:t>
      </w:r>
      <w:r w:rsidRPr="007F764F">
        <w:rPr>
          <w:rFonts w:eastAsia="Times New Roman" w:cstheme="minorHAnsi"/>
          <w:color w:val="565656"/>
          <w:sz w:val="24"/>
          <w:szCs w:val="24"/>
        </w:rPr>
        <w:t xml:space="preserve"> ≥75 vjeç</w:t>
      </w:r>
      <w:r>
        <w:rPr>
          <w:rFonts w:eastAsia="Times New Roman" w:cstheme="minorHAnsi"/>
          <w:color w:val="565656"/>
          <w:sz w:val="24"/>
          <w:szCs w:val="24"/>
        </w:rPr>
        <w:t>) krahasuar me studimet</w:t>
      </w:r>
      <w:r w:rsidRPr="007F764F">
        <w:rPr>
          <w:rFonts w:eastAsia="Times New Roman" w:cstheme="minorHAnsi"/>
          <w:color w:val="565656"/>
          <w:sz w:val="24"/>
          <w:szCs w:val="24"/>
        </w:rPr>
        <w:t xml:space="preserve"> e fazës III të NOAC-ëve të tjerë. Këta pacientë të moshuar kishin gjithashtu CHADS</w:t>
      </w:r>
      <w:r w:rsidRPr="00FD05C6">
        <w:rPr>
          <w:rFonts w:eastAsia="Times New Roman" w:cstheme="minorHAnsi"/>
          <w:color w:val="565656"/>
          <w:sz w:val="24"/>
          <w:szCs w:val="24"/>
          <w:vertAlign w:val="subscript"/>
        </w:rPr>
        <w:t>2</w:t>
      </w:r>
      <w:r>
        <w:rPr>
          <w:rFonts w:eastAsia="Times New Roman" w:cstheme="minorHAnsi"/>
          <w:color w:val="565656"/>
          <w:sz w:val="24"/>
          <w:szCs w:val="24"/>
        </w:rPr>
        <w:t xml:space="preserve"> mesatar </w:t>
      </w:r>
      <w:r w:rsidRPr="007F764F">
        <w:rPr>
          <w:rFonts w:eastAsia="Times New Roman" w:cstheme="minorHAnsi"/>
          <w:color w:val="565656"/>
          <w:sz w:val="24"/>
          <w:szCs w:val="24"/>
        </w:rPr>
        <w:t xml:space="preserve">më të lartë, rezultatin dhe përqindjen më të lartë të komplikimeve duke përfshirë insuficiencën kardiake kongjestive, diabetin dhe </w:t>
      </w:r>
      <w:r>
        <w:rPr>
          <w:rFonts w:eastAsia="Times New Roman" w:cstheme="minorHAnsi"/>
          <w:color w:val="565656"/>
          <w:sz w:val="24"/>
          <w:szCs w:val="24"/>
        </w:rPr>
        <w:t>insultin</w:t>
      </w:r>
      <w:r w:rsidRPr="007F764F">
        <w:rPr>
          <w:rFonts w:eastAsia="Times New Roman" w:cstheme="minorHAnsi"/>
          <w:color w:val="565656"/>
          <w:sz w:val="24"/>
          <w:szCs w:val="24"/>
        </w:rPr>
        <w:t xml:space="preserve"> e mëparsh</w:t>
      </w:r>
      <w:r>
        <w:rPr>
          <w:rFonts w:eastAsia="Times New Roman" w:cstheme="minorHAnsi"/>
          <w:color w:val="565656"/>
          <w:sz w:val="24"/>
          <w:szCs w:val="24"/>
        </w:rPr>
        <w:t>ë</w:t>
      </w:r>
      <w:r w:rsidRPr="007F764F">
        <w:rPr>
          <w:rFonts w:eastAsia="Times New Roman" w:cstheme="minorHAnsi"/>
          <w:color w:val="565656"/>
          <w:sz w:val="24"/>
          <w:szCs w:val="24"/>
        </w:rPr>
        <w:t>m në tru ose atakun ishemik kalimtar.</w:t>
      </w:r>
      <w:r>
        <w:rPr>
          <w:rFonts w:eastAsia="Times New Roman" w:cstheme="minorHAnsi"/>
          <w:color w:val="565656"/>
          <w:sz w:val="24"/>
          <w:szCs w:val="24"/>
        </w:rPr>
        <w:t xml:space="preserve"> </w:t>
      </w:r>
      <w:r w:rsidRPr="007F764F">
        <w:rPr>
          <w:rFonts w:eastAsia="Times New Roman" w:cstheme="minorHAnsi"/>
          <w:color w:val="565656"/>
          <w:sz w:val="24"/>
          <w:szCs w:val="24"/>
        </w:rPr>
        <w:t>(194)</w:t>
      </w:r>
    </w:p>
    <w:p w14:paraId="4BB010D9"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3C83278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0E913A7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747BE24E"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4FA5C1B2" w14:textId="77777777" w:rsidR="009E1860" w:rsidRDefault="009E1860" w:rsidP="009E1860">
      <w:pPr>
        <w:suppressAutoHyphens/>
        <w:spacing w:line="240" w:lineRule="auto"/>
        <w:jc w:val="center"/>
        <w:textAlignment w:val="baseline"/>
        <w:rPr>
          <w:rFonts w:eastAsia="Times New Roman" w:cstheme="minorHAnsi"/>
          <w:color w:val="565656"/>
          <w:sz w:val="24"/>
          <w:szCs w:val="24"/>
        </w:rPr>
      </w:pPr>
    </w:p>
    <w:p w14:paraId="2504B124"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400C8600" w14:textId="77777777" w:rsidR="009E1860" w:rsidRPr="0093055B" w:rsidRDefault="009E1860" w:rsidP="009E1860">
      <w:pPr>
        <w:suppressAutoHyphens/>
        <w:spacing w:line="240" w:lineRule="auto"/>
        <w:jc w:val="center"/>
        <w:textAlignment w:val="baseline"/>
        <w:rPr>
          <w:rFonts w:eastAsia="Times New Roman" w:cstheme="minorHAnsi"/>
          <w:b/>
          <w:sz w:val="24"/>
          <w:szCs w:val="24"/>
        </w:rPr>
      </w:pPr>
      <w:r w:rsidRPr="0093055B">
        <w:rPr>
          <w:rFonts w:eastAsia="Times New Roman" w:cstheme="minorHAnsi"/>
          <w:b/>
          <w:sz w:val="24"/>
          <w:szCs w:val="24"/>
        </w:rPr>
        <w:t>Karakteristikat e pacientëve të moshës ≥75 vjeç në studimet NOAC të fazës III (194-197)</w:t>
      </w:r>
    </w:p>
    <w:p w14:paraId="3B7D7243"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p>
    <w:p w14:paraId="56953A06" w14:textId="77777777" w:rsidR="009E1860" w:rsidRPr="007F764F" w:rsidRDefault="009E1860" w:rsidP="009E1860">
      <w:pPr>
        <w:suppressAutoHyphens/>
        <w:spacing w:line="240" w:lineRule="auto"/>
        <w:jc w:val="center"/>
        <w:textAlignment w:val="baseline"/>
        <w:rPr>
          <w:rFonts w:eastAsia="Times New Roman" w:cstheme="minorHAnsi"/>
          <w:color w:val="565656"/>
          <w:sz w:val="24"/>
          <w:szCs w:val="24"/>
        </w:rPr>
      </w:pPr>
      <w:r w:rsidRPr="007F764F">
        <w:rPr>
          <w:rFonts w:cstheme="minorHAnsi"/>
          <w:noProof/>
          <w:sz w:val="24"/>
          <w:szCs w:val="24"/>
        </w:rPr>
        <w:drawing>
          <wp:inline distT="0" distB="0" distL="0" distR="0" wp14:anchorId="798088FB" wp14:editId="5314060F">
            <wp:extent cx="5943600" cy="240411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404110"/>
                    </a:xfrm>
                    <a:prstGeom prst="rect">
                      <a:avLst/>
                    </a:prstGeom>
                  </pic:spPr>
                </pic:pic>
              </a:graphicData>
            </a:graphic>
          </wp:inline>
        </w:drawing>
      </w:r>
    </w:p>
    <w:p w14:paraId="35DFCF2C"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61BA067"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highlight w:val="yellow"/>
        </w:rPr>
      </w:pPr>
    </w:p>
    <w:p w14:paraId="4CE56BF4"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Në këtë analizë dytësore të</w:t>
      </w:r>
      <w:r>
        <w:rPr>
          <w:rFonts w:eastAsia="Times New Roman" w:cstheme="minorHAnsi"/>
          <w:sz w:val="24"/>
          <w:szCs w:val="24"/>
        </w:rPr>
        <w:t xml:space="preserve"> paracaktuar të pacientëve me fibrilacion atrial</w:t>
      </w:r>
      <w:r w:rsidRPr="0093055B">
        <w:rPr>
          <w:rFonts w:eastAsia="Times New Roman" w:cstheme="minorHAnsi"/>
          <w:sz w:val="24"/>
          <w:szCs w:val="24"/>
        </w:rPr>
        <w:t xml:space="preserve"> jovalvular në studi</w:t>
      </w:r>
      <w:r>
        <w:rPr>
          <w:rFonts w:eastAsia="Times New Roman" w:cstheme="minorHAnsi"/>
          <w:sz w:val="24"/>
          <w:szCs w:val="24"/>
        </w:rPr>
        <w:t>min e randomizuar ROCKET AF, siç</w:t>
      </w:r>
      <w:r w:rsidRPr="0093055B">
        <w:rPr>
          <w:rFonts w:eastAsia="Times New Roman" w:cstheme="minorHAnsi"/>
          <w:sz w:val="24"/>
          <w:szCs w:val="24"/>
        </w:rPr>
        <w:t xml:space="preserve"> pritej, shkalla absolute e </w:t>
      </w:r>
      <w:r>
        <w:rPr>
          <w:rFonts w:eastAsia="Times New Roman" w:cstheme="minorHAnsi"/>
          <w:sz w:val="24"/>
          <w:szCs w:val="24"/>
        </w:rPr>
        <w:t>insultit</w:t>
      </w:r>
      <w:r w:rsidRPr="0093055B">
        <w:rPr>
          <w:rFonts w:eastAsia="Times New Roman" w:cstheme="minorHAnsi"/>
          <w:sz w:val="24"/>
          <w:szCs w:val="24"/>
        </w:rPr>
        <w:t xml:space="preserve"> ishemik cerebrale dhe embolisë sistemike si dhe hemorragjia madhore ishin më të larta tek pacientët e moshuar krahasuar me pacientët më të rinj dhe kë</w:t>
      </w:r>
      <w:r>
        <w:rPr>
          <w:rFonts w:eastAsia="Times New Roman" w:cstheme="minorHAnsi"/>
          <w:sz w:val="24"/>
          <w:szCs w:val="24"/>
        </w:rPr>
        <w:t xml:space="preserve">to rezultate ishin </w:t>
      </w:r>
      <w:r w:rsidRPr="0093055B">
        <w:rPr>
          <w:rFonts w:eastAsia="Times New Roman" w:cstheme="minorHAnsi"/>
          <w:sz w:val="24"/>
          <w:szCs w:val="24"/>
        </w:rPr>
        <w:t>konsistente me rezultatet e studimit në popullatën në tërë</w:t>
      </w:r>
      <w:r>
        <w:rPr>
          <w:rFonts w:eastAsia="Times New Roman" w:cstheme="minorHAnsi"/>
          <w:sz w:val="24"/>
          <w:szCs w:val="24"/>
        </w:rPr>
        <w:t>si. (194)</w:t>
      </w:r>
    </w:p>
    <w:p w14:paraId="186B55FF" w14:textId="77777777" w:rsidR="009E1860" w:rsidRPr="0093055B" w:rsidRDefault="009E1860" w:rsidP="009E1860">
      <w:pPr>
        <w:suppressAutoHyphens/>
        <w:spacing w:after="0" w:line="240" w:lineRule="auto"/>
        <w:textAlignment w:val="baseline"/>
        <w:rPr>
          <w:rFonts w:eastAsia="Times New Roman" w:cstheme="minorHAnsi"/>
          <w:sz w:val="24"/>
          <w:szCs w:val="24"/>
        </w:rPr>
      </w:pPr>
    </w:p>
    <w:p w14:paraId="68CECFC1" w14:textId="77777777" w:rsidR="009E1860" w:rsidRPr="0093055B" w:rsidRDefault="009E1860" w:rsidP="009E1860">
      <w:pPr>
        <w:suppressAutoHyphens/>
        <w:spacing w:after="0" w:line="240" w:lineRule="auto"/>
        <w:textAlignment w:val="baseline"/>
        <w:rPr>
          <w:rFonts w:eastAsia="Times New Roman" w:cstheme="minorHAnsi"/>
          <w:sz w:val="24"/>
          <w:szCs w:val="24"/>
        </w:rPr>
      </w:pPr>
      <w:r w:rsidRPr="0093055B">
        <w:rPr>
          <w:rFonts w:eastAsia="Times New Roman" w:cstheme="minorHAnsi"/>
          <w:sz w:val="24"/>
          <w:szCs w:val="24"/>
        </w:rPr>
        <w:t xml:space="preserve">Antikoagulimi me rivaroxaban ishte po aq efektiv sa </w:t>
      </w:r>
      <w:r>
        <w:rPr>
          <w:rFonts w:eastAsia="Times New Roman" w:cstheme="minorHAnsi"/>
          <w:sz w:val="24"/>
          <w:szCs w:val="24"/>
        </w:rPr>
        <w:t>varf</w:t>
      </w:r>
      <w:r w:rsidRPr="0093055B">
        <w:rPr>
          <w:rFonts w:eastAsia="Times New Roman" w:cstheme="minorHAnsi"/>
          <w:sz w:val="24"/>
          <w:szCs w:val="24"/>
        </w:rPr>
        <w:t xml:space="preserve">arina në reduktimin e </w:t>
      </w:r>
      <w:r>
        <w:rPr>
          <w:rFonts w:eastAsia="Times New Roman" w:cstheme="minorHAnsi"/>
          <w:sz w:val="24"/>
          <w:szCs w:val="24"/>
        </w:rPr>
        <w:t>insultit cerebral</w:t>
      </w:r>
      <w:r w:rsidRPr="0093055B">
        <w:rPr>
          <w:rFonts w:eastAsia="Times New Roman" w:cstheme="minorHAnsi"/>
          <w:sz w:val="24"/>
          <w:szCs w:val="24"/>
        </w:rPr>
        <w:t xml:space="preserve"> dhe embolisë sistemike në pacientët e moshuar me më pak hemorragji intrakraniale.</w:t>
      </w:r>
    </w:p>
    <w:p w14:paraId="6105213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1CD714D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ROCKET AF ishin në përputhje me vëzhgimet e botës reale, të tilla si ato në studimin e fazës IV XANTUS, në të cilin rivaroxaban u shoqërua me shkallë të ulët të </w:t>
      </w:r>
      <w:r>
        <w:rPr>
          <w:rFonts w:eastAsia="Times New Roman" w:cstheme="minorHAnsi"/>
          <w:color w:val="565656"/>
          <w:sz w:val="24"/>
          <w:szCs w:val="24"/>
        </w:rPr>
        <w:t xml:space="preserve">insultit </w:t>
      </w:r>
      <w:r w:rsidRPr="007F764F">
        <w:rPr>
          <w:rFonts w:eastAsia="Times New Roman" w:cstheme="minorHAnsi"/>
          <w:color w:val="565656"/>
          <w:sz w:val="24"/>
          <w:szCs w:val="24"/>
        </w:rPr>
        <w:t xml:space="preserve">ishemik në </w:t>
      </w:r>
      <w:r>
        <w:rPr>
          <w:rFonts w:eastAsia="Times New Roman" w:cstheme="minorHAnsi"/>
          <w:color w:val="565656"/>
          <w:sz w:val="24"/>
          <w:szCs w:val="24"/>
        </w:rPr>
        <w:t xml:space="preserve">tru dhe ngjarjeve hemorragjike </w:t>
      </w:r>
      <w:r w:rsidRPr="007F764F">
        <w:rPr>
          <w:rFonts w:eastAsia="Times New Roman" w:cstheme="minorHAnsi"/>
          <w:color w:val="565656"/>
          <w:sz w:val="24"/>
          <w:szCs w:val="24"/>
        </w:rPr>
        <w:t>në një po</w:t>
      </w:r>
      <w:r>
        <w:rPr>
          <w:rFonts w:eastAsia="Times New Roman" w:cstheme="minorHAnsi"/>
          <w:color w:val="565656"/>
          <w:sz w:val="24"/>
          <w:szCs w:val="24"/>
        </w:rPr>
        <w:t>pullatë të gjerë pacientësh me fibrilacion atrial</w:t>
      </w:r>
      <w:r w:rsidRPr="007F764F">
        <w:rPr>
          <w:rFonts w:eastAsia="Times New Roman" w:cstheme="minorHAnsi"/>
          <w:color w:val="565656"/>
          <w:sz w:val="24"/>
          <w:szCs w:val="24"/>
        </w:rPr>
        <w:t xml:space="preserve"> që përfshinte 37% të pacientët mbi 75 vjeç.</w:t>
      </w:r>
      <w:r>
        <w:rPr>
          <w:rFonts w:eastAsia="Times New Roman" w:cstheme="minorHAnsi"/>
          <w:color w:val="565656"/>
          <w:sz w:val="24"/>
          <w:szCs w:val="24"/>
        </w:rPr>
        <w:t xml:space="preserve"> </w:t>
      </w:r>
      <w:r w:rsidRPr="007F764F">
        <w:rPr>
          <w:rFonts w:eastAsia="Times New Roman" w:cstheme="minorHAnsi"/>
          <w:color w:val="565656"/>
          <w:sz w:val="24"/>
          <w:szCs w:val="24"/>
        </w:rPr>
        <w:t>(107)</w:t>
      </w:r>
    </w:p>
    <w:p w14:paraId="024847B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w:t>
      </w:r>
    </w:p>
    <w:p w14:paraId="29F4F541" w14:textId="77777777" w:rsidR="009E1860"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Dëshmi të mëtejshme nga bota reale vijnë nga studimi prospektiv, vëzhgues  SAFIR AC i 995 pacientëve të moshës ≥80 vjeç me </w:t>
      </w:r>
      <w:r>
        <w:rPr>
          <w:rFonts w:eastAsia="Times New Roman" w:cstheme="minorHAnsi"/>
          <w:color w:val="565656"/>
          <w:sz w:val="24"/>
          <w:szCs w:val="24"/>
        </w:rPr>
        <w:t>fibrilacion atrial</w:t>
      </w:r>
      <w:r w:rsidRPr="007F764F">
        <w:rPr>
          <w:rFonts w:eastAsia="Times New Roman" w:cstheme="minorHAnsi"/>
          <w:color w:val="565656"/>
          <w:sz w:val="24"/>
          <w:szCs w:val="24"/>
        </w:rPr>
        <w:t>, ku ngjarjet e hemorragjive madhore ishin dukshëm më të ulëta me rivaroxaban krahasuar me ant</w:t>
      </w:r>
      <w:r>
        <w:rPr>
          <w:rFonts w:eastAsia="Times New Roman" w:cstheme="minorHAnsi"/>
          <w:color w:val="565656"/>
          <w:sz w:val="24"/>
          <w:szCs w:val="24"/>
        </w:rPr>
        <w:t>agonistët e vitaminës K (VKA) gjatë</w:t>
      </w:r>
      <w:r w:rsidRPr="007F764F">
        <w:rPr>
          <w:rFonts w:eastAsia="Times New Roman" w:cstheme="minorHAnsi"/>
          <w:color w:val="565656"/>
          <w:sz w:val="24"/>
          <w:szCs w:val="24"/>
        </w:rPr>
        <w:t xml:space="preserve"> 1 vit</w:t>
      </w:r>
      <w:r>
        <w:rPr>
          <w:rFonts w:eastAsia="Times New Roman" w:cstheme="minorHAnsi"/>
          <w:color w:val="565656"/>
          <w:sz w:val="24"/>
          <w:szCs w:val="24"/>
        </w:rPr>
        <w:t>i</w:t>
      </w:r>
      <w:r w:rsidRPr="007F764F">
        <w:rPr>
          <w:rFonts w:eastAsia="Times New Roman" w:cstheme="minorHAnsi"/>
          <w:color w:val="565656"/>
          <w:sz w:val="24"/>
          <w:szCs w:val="24"/>
        </w:rPr>
        <w:t xml:space="preserve">.(198) </w:t>
      </w:r>
      <w:r w:rsidRPr="0093055B">
        <w:rPr>
          <w:rFonts w:eastAsia="Times New Roman" w:cstheme="minorHAnsi"/>
          <w:color w:val="565656"/>
          <w:sz w:val="24"/>
          <w:szCs w:val="24"/>
        </w:rPr>
        <w:t>Rreziku për hemorragji madhore ishte dukshëm  më i ulët në pacientët e trajtuar me rivaroxaban (7,4/100 pacient-vjet) krahasuar me pacientët e trajtuar m</w:t>
      </w:r>
      <w:r>
        <w:rPr>
          <w:rFonts w:eastAsia="Times New Roman" w:cstheme="minorHAnsi"/>
          <w:color w:val="565656"/>
          <w:sz w:val="24"/>
          <w:szCs w:val="24"/>
        </w:rPr>
        <w:t xml:space="preserve">e </w:t>
      </w:r>
      <w:r w:rsidRPr="0093055B">
        <w:rPr>
          <w:rFonts w:eastAsia="Times New Roman" w:cstheme="minorHAnsi"/>
          <w:color w:val="565656"/>
          <w:sz w:val="24"/>
          <w:szCs w:val="24"/>
        </w:rPr>
        <w:t>VKA (14,6/100 pacient-vjet) (</w:t>
      </w:r>
      <w:r>
        <w:rPr>
          <w:rFonts w:eastAsia="Times New Roman" w:cstheme="minorHAnsi"/>
          <w:color w:val="565656"/>
          <w:sz w:val="24"/>
          <w:szCs w:val="24"/>
        </w:rPr>
        <w:t>reduktimi relativ i riskut 33 %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0,43 deri në 0,99)  dhe pas rregullimit statistikor të varicioneve ndërmjet grupeve të krahasuara ky rezultat ishte </w:t>
      </w:r>
      <w:r>
        <w:rPr>
          <w:rFonts w:eastAsia="Times New Roman" w:cstheme="minorHAnsi"/>
          <w:color w:val="565656"/>
          <w:sz w:val="24"/>
          <w:szCs w:val="24"/>
        </w:rPr>
        <w:t>47%</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0,33 deri në 0,85). Hemorragjia intrakraniale ndodhi më rrallë në pacientët e trajtuar me rivaroxaban (1.3/100 pacient-vjet) sesa në pacientët e trajtuar me VKA (4.0/100 pacient-vjet)</w:t>
      </w:r>
      <w:r>
        <w:rPr>
          <w:rFonts w:cstheme="minorHAnsi"/>
          <w:sz w:val="24"/>
          <w:szCs w:val="24"/>
        </w:rPr>
        <w:t>, reduktimi relativ I rikut 41 %</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0.24 në 1.44), dhe pas rregullimit statistikor të varicioneve ndërmjet grupeve të krahasuara ky rezultat ishte</w:t>
      </w:r>
      <w:r>
        <w:rPr>
          <w:rFonts w:eastAsia="Times New Roman" w:cstheme="minorHAnsi"/>
          <w:color w:val="565656"/>
          <w:sz w:val="24"/>
          <w:szCs w:val="24"/>
        </w:rPr>
        <w:t xml:space="preserve"> 74%</w:t>
      </w:r>
      <w:r w:rsidRPr="0093055B">
        <w:rPr>
          <w:rFonts w:eastAsia="Times New Roman" w:cstheme="minorHAnsi"/>
          <w:color w:val="565656"/>
          <w:sz w:val="24"/>
          <w:szCs w:val="24"/>
        </w:rPr>
        <w:t xml:space="preserve"> (95% </w:t>
      </w:r>
      <w:r>
        <w:rPr>
          <w:rFonts w:eastAsia="Times New Roman" w:cstheme="minorHAnsi"/>
          <w:color w:val="565656"/>
          <w:sz w:val="24"/>
          <w:szCs w:val="24"/>
        </w:rPr>
        <w:t>Intervali i besimit</w:t>
      </w:r>
      <w:r w:rsidRPr="0093055B">
        <w:rPr>
          <w:rFonts w:eastAsia="Times New Roman" w:cstheme="minorHAnsi"/>
          <w:color w:val="565656"/>
          <w:sz w:val="24"/>
          <w:szCs w:val="24"/>
        </w:rPr>
        <w:t xml:space="preserve"> 0,09 deri në 0,80). Risku i ulët për hemorragji madhore ishte rezultat i riskut të ulët për hemorragji intracerebrale.</w:t>
      </w:r>
      <w:r>
        <w:rPr>
          <w:rFonts w:eastAsia="Times New Roman" w:cstheme="minorHAnsi"/>
          <w:color w:val="565656"/>
          <w:sz w:val="24"/>
          <w:szCs w:val="24"/>
        </w:rPr>
        <w:t xml:space="preserve"> </w:t>
      </w:r>
      <w:r w:rsidRPr="0093055B">
        <w:rPr>
          <w:rFonts w:eastAsia="Times New Roman" w:cstheme="minorHAnsi"/>
          <w:color w:val="565656"/>
          <w:sz w:val="24"/>
          <w:szCs w:val="24"/>
        </w:rPr>
        <w:t>(198)</w:t>
      </w:r>
    </w:p>
    <w:p w14:paraId="35717F0E"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5E240EA8" w14:textId="77777777" w:rsidR="009E1860" w:rsidRDefault="009E1860" w:rsidP="009E1860">
      <w:pPr>
        <w:suppressAutoHyphens/>
        <w:spacing w:after="0" w:line="240" w:lineRule="auto"/>
        <w:textAlignment w:val="baseline"/>
        <w:rPr>
          <w:rFonts w:eastAsia="Times New Roman" w:cstheme="minorHAnsi"/>
          <w:color w:val="565656"/>
          <w:sz w:val="24"/>
          <w:szCs w:val="24"/>
        </w:rPr>
      </w:pPr>
    </w:p>
    <w:p w14:paraId="28532351" w14:textId="77777777" w:rsidR="009E1860" w:rsidRPr="00C5767B" w:rsidRDefault="009E1860" w:rsidP="009E1860">
      <w:pPr>
        <w:suppressAutoHyphens/>
        <w:spacing w:after="0" w:line="240" w:lineRule="auto"/>
        <w:textAlignment w:val="baseline"/>
        <w:rPr>
          <w:rFonts w:eastAsia="Times New Roman" w:cstheme="minorHAnsi"/>
          <w:b/>
          <w:bCs/>
          <w:color w:val="565656"/>
          <w:sz w:val="24"/>
          <w:szCs w:val="24"/>
        </w:rPr>
      </w:pPr>
      <w:r w:rsidRPr="00C5767B">
        <w:rPr>
          <w:rFonts w:eastAsia="Times New Roman" w:cstheme="minorHAnsi"/>
          <w:b/>
          <w:bCs/>
          <w:color w:val="565656"/>
          <w:sz w:val="24"/>
          <w:szCs w:val="24"/>
        </w:rPr>
        <w:t>Rezultatet e përdorimit të rivaroxaban kundrejt përdorimit të varfarinës në pacientët me NVAF ≥80 vjeç</w:t>
      </w:r>
    </w:p>
    <w:p w14:paraId="187E9D90"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noProof/>
        </w:rPr>
        <w:drawing>
          <wp:inline distT="0" distB="0" distL="0" distR="0" wp14:anchorId="42395779" wp14:editId="2CDD979F">
            <wp:extent cx="5791200" cy="409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200" cy="4095750"/>
                    </a:xfrm>
                    <a:prstGeom prst="rect">
                      <a:avLst/>
                    </a:prstGeom>
                  </pic:spPr>
                </pic:pic>
              </a:graphicData>
            </a:graphic>
          </wp:inline>
        </w:drawing>
      </w:r>
    </w:p>
    <w:p w14:paraId="4C6F6D8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69CAF56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2A34F37E"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C6DED68"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3039974F"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Për më tepër, sipas rezultateve klinike një</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vjeçare të grumbulluara nga regjistrat e mëdhenj evropianë PREFER AF dhe PREFER AF Prolongation (i zgjatur), përdorimi i NOAC u shoqërua me një përfitim klinik neto më të mirë krahasuar me VKA në 3,825 pacientë të moshës ≥75 vjeç me </w:t>
      </w:r>
      <w:r>
        <w:rPr>
          <w:rFonts w:eastAsia="Times New Roman" w:cstheme="minorHAnsi"/>
          <w:color w:val="565656"/>
          <w:sz w:val="24"/>
          <w:szCs w:val="24"/>
        </w:rPr>
        <w:t>fibrilacion atrial</w:t>
      </w:r>
      <w:r w:rsidRPr="007F764F">
        <w:rPr>
          <w:rFonts w:eastAsia="Times New Roman" w:cstheme="minorHAnsi"/>
          <w:color w:val="565656"/>
          <w:sz w:val="24"/>
          <w:szCs w:val="24"/>
        </w:rPr>
        <w:t>, kryesisht për shkak të shkallës më të ulët të hemorragjive</w:t>
      </w:r>
      <w:r>
        <w:rPr>
          <w:rFonts w:eastAsia="Times New Roman" w:cstheme="minorHAnsi"/>
          <w:color w:val="565656"/>
          <w:sz w:val="24"/>
          <w:szCs w:val="24"/>
        </w:rPr>
        <w:t xml:space="preserve"> </w:t>
      </w:r>
      <w:r w:rsidRPr="007F764F">
        <w:rPr>
          <w:rFonts w:eastAsia="Times New Roman" w:cstheme="minorHAnsi"/>
          <w:color w:val="565656"/>
          <w:sz w:val="24"/>
          <w:szCs w:val="24"/>
        </w:rPr>
        <w:t>madhore.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C6E7416"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 xml:space="preserve">Rezultatet e të dhënave nga këta dy regjistra konfirmuan se tek pacientët shumë të moshuar (mosha ≥85 vjeç): (1) Rezultatet e përftuara nga trajtimi me antikoagulantë për parandalimin e ngjarjeve tromboembolike përkundrejt alternativës së trajtimit pa antikoagulantë, favorizojnë ndjeshëm përdorimin e tyre; (2) në nëngrupin e përdoruesve të antikoagulantëve rreziku për hemorragji </w:t>
      </w:r>
      <w:r>
        <w:rPr>
          <w:rFonts w:eastAsia="Times New Roman" w:cstheme="minorHAnsi"/>
          <w:color w:val="565656"/>
          <w:sz w:val="24"/>
          <w:szCs w:val="24"/>
        </w:rPr>
        <w:t xml:space="preserve">nuk ishte më i lartë se ai tek </w:t>
      </w:r>
      <w:r w:rsidRPr="007F764F">
        <w:rPr>
          <w:rFonts w:eastAsia="Times New Roman" w:cstheme="minorHAnsi"/>
          <w:color w:val="565656"/>
          <w:sz w:val="24"/>
          <w:szCs w:val="24"/>
        </w:rPr>
        <w:t>pacientët që morrën antiagregantë. Një gjetje tjetë</w:t>
      </w:r>
      <w:r>
        <w:rPr>
          <w:rFonts w:eastAsia="Times New Roman" w:cstheme="minorHAnsi"/>
          <w:color w:val="565656"/>
          <w:sz w:val="24"/>
          <w:szCs w:val="24"/>
        </w:rPr>
        <w:t xml:space="preserve">r ishte se </w:t>
      </w:r>
      <w:r w:rsidRPr="007F764F">
        <w:rPr>
          <w:rFonts w:eastAsia="Times New Roman" w:cstheme="minorHAnsi"/>
          <w:color w:val="565656"/>
          <w:sz w:val="24"/>
          <w:szCs w:val="24"/>
        </w:rPr>
        <w:t xml:space="preserve">sa më të vjetër të ishin pacientët me </w:t>
      </w:r>
      <w:r>
        <w:rPr>
          <w:rFonts w:eastAsia="Times New Roman" w:cstheme="minorHAnsi"/>
          <w:color w:val="565656"/>
          <w:sz w:val="24"/>
          <w:szCs w:val="24"/>
        </w:rPr>
        <w:t>fibrilacion atrial</w:t>
      </w:r>
      <w:r w:rsidRPr="007F764F">
        <w:rPr>
          <w:rFonts w:eastAsia="Times New Roman" w:cstheme="minorHAnsi"/>
          <w:color w:val="565656"/>
          <w:sz w:val="24"/>
          <w:szCs w:val="24"/>
        </w:rPr>
        <w:t>, aq më i lartë ishte përfitimi klinik neto në favor të terapisë antikoagulante.</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24684749"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p>
    <w:p w14:paraId="4F838672"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t>Rezultatet e këtyre studimeve nga bota reale konfirmuan dhe zgjeruan vëzhgimet e mëparshme, duke treguar se pavarësisht nga terapitë</w:t>
      </w:r>
      <w:r>
        <w:rPr>
          <w:rFonts w:eastAsia="Times New Roman" w:cstheme="minorHAnsi"/>
          <w:color w:val="565656"/>
          <w:sz w:val="24"/>
          <w:szCs w:val="24"/>
        </w:rPr>
        <w:t xml:space="preserve"> antitrombotike </w:t>
      </w:r>
      <w:r w:rsidRPr="007F764F">
        <w:rPr>
          <w:rFonts w:eastAsia="Times New Roman" w:cstheme="minorHAnsi"/>
          <w:color w:val="565656"/>
          <w:sz w:val="24"/>
          <w:szCs w:val="24"/>
        </w:rPr>
        <w:t xml:space="preserve">në pacientët e moshës ≥85 vjeç, rreziku i përgjithshëm i </w:t>
      </w:r>
      <w:r>
        <w:rPr>
          <w:rFonts w:eastAsia="Times New Roman" w:cstheme="minorHAnsi"/>
          <w:color w:val="565656"/>
          <w:sz w:val="24"/>
          <w:szCs w:val="24"/>
        </w:rPr>
        <w:t>insultit</w:t>
      </w:r>
      <w:r w:rsidRPr="007F764F">
        <w:rPr>
          <w:rFonts w:eastAsia="Times New Roman" w:cstheme="minorHAnsi"/>
          <w:color w:val="565656"/>
          <w:sz w:val="24"/>
          <w:szCs w:val="24"/>
        </w:rPr>
        <w:t xml:space="preserve"> cerebral/</w:t>
      </w:r>
      <w:r>
        <w:rPr>
          <w:rFonts w:eastAsia="Times New Roman" w:cstheme="minorHAnsi"/>
          <w:color w:val="565656"/>
          <w:sz w:val="24"/>
          <w:szCs w:val="24"/>
        </w:rPr>
        <w:t xml:space="preserve"> atakut ishemik tranzitor</w:t>
      </w:r>
      <w:r w:rsidRPr="007F764F">
        <w:rPr>
          <w:rFonts w:eastAsia="Times New Roman" w:cstheme="minorHAnsi"/>
          <w:color w:val="565656"/>
          <w:sz w:val="24"/>
          <w:szCs w:val="24"/>
        </w:rPr>
        <w: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embolisë sistemike është </w:t>
      </w:r>
      <w:r>
        <w:rPr>
          <w:rFonts w:eastAsia="Times New Roman" w:cstheme="minorHAnsi"/>
          <w:color w:val="565656"/>
          <w:sz w:val="24"/>
          <w:szCs w:val="24"/>
        </w:rPr>
        <w:t xml:space="preserve">dukshëm më i lartë krahasuar me </w:t>
      </w:r>
      <w:r w:rsidRPr="007F764F">
        <w:rPr>
          <w:rFonts w:eastAsia="Times New Roman" w:cstheme="minorHAnsi"/>
          <w:color w:val="565656"/>
          <w:sz w:val="24"/>
          <w:szCs w:val="24"/>
        </w:rPr>
        <w:t>çdo shtresë grupmoshe më të re</w:t>
      </w:r>
      <w:r>
        <w:rPr>
          <w:rFonts w:eastAsia="Times New Roman" w:cstheme="minorHAnsi"/>
          <w:color w:val="565656"/>
          <w:sz w:val="24"/>
          <w:szCs w:val="24"/>
        </w:rPr>
        <w:t>. Në moshën mbi 85 vjec vihet re</w:t>
      </w:r>
      <w:r w:rsidRPr="007F764F">
        <w:rPr>
          <w:rFonts w:eastAsia="Times New Roman" w:cstheme="minorHAnsi"/>
          <w:color w:val="565656"/>
          <w:sz w:val="24"/>
          <w:szCs w:val="24"/>
        </w:rPr>
        <w:t xml:space="preserve"> një rritje 2.6</w:t>
      </w:r>
      <w:r>
        <w:rPr>
          <w:rFonts w:eastAsia="Times New Roman" w:cstheme="minorHAnsi"/>
          <w:color w:val="565656"/>
          <w:sz w:val="24"/>
          <w:szCs w:val="24"/>
        </w:rPr>
        <w:t xml:space="preserve"> herë</w:t>
      </w:r>
      <w:r w:rsidRPr="007F764F">
        <w:rPr>
          <w:rFonts w:eastAsia="Times New Roman" w:cstheme="minorHAnsi"/>
          <w:color w:val="565656"/>
          <w:sz w:val="24"/>
          <w:szCs w:val="24"/>
        </w:rPr>
        <w:t xml:space="preserve"> </w:t>
      </w:r>
      <w:r>
        <w:rPr>
          <w:rFonts w:eastAsia="Times New Roman" w:cstheme="minorHAnsi"/>
          <w:color w:val="565656"/>
          <w:sz w:val="24"/>
          <w:szCs w:val="24"/>
        </w:rPr>
        <w:t>e k</w:t>
      </w:r>
      <w:r w:rsidRPr="00C0438C">
        <w:rPr>
          <w:rFonts w:eastAsia="Times New Roman" w:cstheme="minorHAnsi"/>
          <w:color w:val="565656"/>
          <w:sz w:val="24"/>
          <w:szCs w:val="24"/>
        </w:rPr>
        <w:t>ë</w:t>
      </w:r>
      <w:r>
        <w:rPr>
          <w:rFonts w:eastAsia="Times New Roman" w:cstheme="minorHAnsi"/>
          <w:color w:val="565656"/>
          <w:sz w:val="24"/>
          <w:szCs w:val="24"/>
        </w:rPr>
        <w:t xml:space="preserve">tij rreziku </w:t>
      </w:r>
      <w:r w:rsidRPr="007F764F">
        <w:rPr>
          <w:rFonts w:eastAsia="Times New Roman" w:cstheme="minorHAnsi"/>
          <w:color w:val="565656"/>
          <w:sz w:val="24"/>
          <w:szCs w:val="24"/>
        </w:rPr>
        <w:t>kundrejt</w:t>
      </w:r>
      <w:r>
        <w:rPr>
          <w:rFonts w:eastAsia="Times New Roman" w:cstheme="minorHAnsi"/>
          <w:color w:val="565656"/>
          <w:sz w:val="24"/>
          <w:szCs w:val="24"/>
        </w:rPr>
        <w:t xml:space="preserve"> </w:t>
      </w:r>
      <w:r w:rsidRPr="007F764F">
        <w:rPr>
          <w:rFonts w:eastAsia="Times New Roman" w:cstheme="minorHAnsi"/>
          <w:color w:val="565656"/>
          <w:sz w:val="24"/>
          <w:szCs w:val="24"/>
        </w:rPr>
        <w:t>pacientëve të</w:t>
      </w:r>
      <w:r>
        <w:rPr>
          <w:rFonts w:eastAsia="Times New Roman" w:cstheme="minorHAnsi"/>
          <w:color w:val="565656"/>
          <w:sz w:val="24"/>
          <w:szCs w:val="24"/>
        </w:rPr>
        <w:t xml:space="preserve"> </w:t>
      </w:r>
      <w:r w:rsidRPr="007F764F">
        <w:rPr>
          <w:rFonts w:eastAsia="Times New Roman" w:cstheme="minorHAnsi"/>
          <w:color w:val="565656"/>
          <w:sz w:val="24"/>
          <w:szCs w:val="24"/>
        </w:rPr>
        <w:t>moshës&lt;75 vjeç dhe një</w:t>
      </w:r>
      <w:r>
        <w:rPr>
          <w:rFonts w:eastAsia="Times New Roman" w:cstheme="minorHAnsi"/>
          <w:color w:val="565656"/>
          <w:sz w:val="24"/>
          <w:szCs w:val="24"/>
        </w:rPr>
        <w:t xml:space="preserve"> rritje 1.6 herë kundrejt atyre </w:t>
      </w:r>
      <w:r w:rsidRPr="007F764F">
        <w:rPr>
          <w:rFonts w:eastAsia="Times New Roman" w:cstheme="minorHAnsi"/>
          <w:color w:val="565656"/>
          <w:sz w:val="24"/>
          <w:szCs w:val="24"/>
        </w:rPr>
        <w:t>nga mosha 75 deri në 84 vjeç; anasjelltas, rreziku i përgjithshëm i hemorragjisë</w:t>
      </w:r>
      <w:r>
        <w:rPr>
          <w:rFonts w:eastAsia="Times New Roman" w:cstheme="minorHAnsi"/>
          <w:color w:val="565656"/>
          <w:sz w:val="24"/>
          <w:szCs w:val="24"/>
        </w:rPr>
        <w:t xml:space="preserve"> ishte </w:t>
      </w:r>
      <w:r w:rsidRPr="007F764F">
        <w:rPr>
          <w:rFonts w:eastAsia="Times New Roman" w:cstheme="minorHAnsi"/>
          <w:color w:val="565656"/>
          <w:sz w:val="24"/>
          <w:szCs w:val="24"/>
        </w:rPr>
        <w:t>më i lartë se për pacientët me moshë &lt;75 vjeç, por i ngjashë</w:t>
      </w:r>
      <w:r>
        <w:rPr>
          <w:rFonts w:eastAsia="Times New Roman" w:cstheme="minorHAnsi"/>
          <w:color w:val="565656"/>
          <w:sz w:val="24"/>
          <w:szCs w:val="24"/>
        </w:rPr>
        <w:t xml:space="preserve">m me </w:t>
      </w:r>
      <w:r w:rsidRPr="007F764F">
        <w:rPr>
          <w:rFonts w:eastAsia="Times New Roman" w:cstheme="minorHAnsi"/>
          <w:color w:val="565656"/>
          <w:sz w:val="24"/>
          <w:szCs w:val="24"/>
        </w:rPr>
        <w:t>ata nga 75 deri në 84 vjeç. Vlen të përmendet se në popullatë shumë të moshuar, ekziston një rrezik absolut për ngjarje tro</w:t>
      </w:r>
      <w:r>
        <w:rPr>
          <w:rFonts w:eastAsia="Times New Roman" w:cstheme="minorHAnsi"/>
          <w:color w:val="565656"/>
          <w:sz w:val="24"/>
          <w:szCs w:val="24"/>
        </w:rPr>
        <w:t xml:space="preserve">mboembolike prej 0.8% në vit </w:t>
      </w:r>
      <w:r w:rsidRPr="007F764F">
        <w:rPr>
          <w:rFonts w:eastAsia="Times New Roman" w:cstheme="minorHAnsi"/>
          <w:color w:val="565656"/>
          <w:sz w:val="24"/>
          <w:szCs w:val="24"/>
        </w:rPr>
        <w:t>më shumë se për hemorrigji</w:t>
      </w:r>
      <w:r>
        <w:rPr>
          <w:rFonts w:eastAsia="Times New Roman" w:cstheme="minorHAnsi"/>
          <w:color w:val="565656"/>
          <w:sz w:val="24"/>
          <w:szCs w:val="24"/>
        </w:rPr>
        <w:t>të</w:t>
      </w:r>
      <w:r w:rsidRPr="007F764F">
        <w:rPr>
          <w:rFonts w:eastAsia="Times New Roman" w:cstheme="minorHAnsi"/>
          <w:color w:val="565656"/>
          <w:sz w:val="24"/>
          <w:szCs w:val="24"/>
        </w:rPr>
        <w:t xml:space="preserve"> madhore. Prandaj, shqetësimi kryesor në këta pacientëve duhet të jetë rreziku tromboembolik </w:t>
      </w:r>
      <w:r>
        <w:rPr>
          <w:rFonts w:eastAsia="Times New Roman" w:cstheme="minorHAnsi"/>
          <w:color w:val="565656"/>
          <w:sz w:val="24"/>
          <w:szCs w:val="24"/>
        </w:rPr>
        <w:t>dhe jo</w:t>
      </w:r>
      <w:r w:rsidRPr="007F764F">
        <w:rPr>
          <w:rFonts w:eastAsia="Times New Roman" w:cstheme="minorHAnsi"/>
          <w:color w:val="565656"/>
          <w:sz w:val="24"/>
          <w:szCs w:val="24"/>
        </w:rPr>
        <w:t xml:space="preserve"> rreziku për hemorragji nga trajtimi me antikoagulantë.</w:t>
      </w:r>
      <w:r>
        <w:rPr>
          <w:rFonts w:eastAsia="Times New Roman" w:cstheme="minorHAnsi"/>
          <w:color w:val="565656"/>
          <w:sz w:val="24"/>
          <w:szCs w:val="24"/>
        </w:rPr>
        <w:t xml:space="preserve"> </w:t>
      </w:r>
      <w:r w:rsidRPr="007F764F">
        <w:rPr>
          <w:rFonts w:eastAsia="Times New Roman" w:cstheme="minorHAnsi"/>
          <w:color w:val="565656"/>
          <w:sz w:val="24"/>
          <w:szCs w:val="24"/>
        </w:rPr>
        <w:t>(199)</w:t>
      </w:r>
    </w:p>
    <w:p w14:paraId="03C9B5D5"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Është gjithashtu qetësuese që studimet retrospektive që përfshijnë pacientët e brishtë</w:t>
      </w:r>
      <w:r>
        <w:rPr>
          <w:rFonts w:eastAsia="Times New Roman" w:cstheme="minorHAnsi"/>
          <w:color w:val="565656"/>
          <w:sz w:val="24"/>
          <w:szCs w:val="24"/>
        </w:rPr>
        <w:t xml:space="preserve"> me fibrilacion atrial</w:t>
      </w:r>
      <w:r w:rsidRPr="007F764F">
        <w:rPr>
          <w:rFonts w:eastAsia="Times New Roman" w:cstheme="minorHAnsi"/>
          <w:color w:val="565656"/>
          <w:sz w:val="24"/>
          <w:szCs w:val="24"/>
        </w:rPr>
        <w:t xml:space="preserve">, të cilët janë zakonisht më të vjetër, konfirmuan se rivaroxaban krahasuar me </w:t>
      </w:r>
      <w:r>
        <w:rPr>
          <w:rFonts w:eastAsia="Times New Roman" w:cstheme="minorHAnsi"/>
          <w:color w:val="565656"/>
          <w:sz w:val="24"/>
          <w:szCs w:val="24"/>
        </w:rPr>
        <w:t>varf</w:t>
      </w:r>
      <w:r w:rsidRPr="007F764F">
        <w:rPr>
          <w:rFonts w:eastAsia="Times New Roman" w:cstheme="minorHAnsi"/>
          <w:color w:val="565656"/>
          <w:sz w:val="24"/>
          <w:szCs w:val="24"/>
        </w:rPr>
        <w:t xml:space="preserve">arinën uli rrezikun e </w:t>
      </w:r>
      <w:r>
        <w:rPr>
          <w:rFonts w:eastAsia="Times New Roman" w:cstheme="minorHAnsi"/>
          <w:color w:val="565656"/>
          <w:sz w:val="24"/>
          <w:szCs w:val="24"/>
        </w:rPr>
        <w:t>insultit</w:t>
      </w:r>
      <w:r w:rsidRPr="007F764F">
        <w:rPr>
          <w:rFonts w:eastAsia="Times New Roman" w:cstheme="minorHAnsi"/>
          <w:color w:val="565656"/>
          <w:sz w:val="24"/>
          <w:szCs w:val="24"/>
        </w:rPr>
        <w:t xml:space="preserve"> ishemik cerebral gjatë</w:t>
      </w:r>
      <w:r>
        <w:rPr>
          <w:rFonts w:eastAsia="Times New Roman" w:cstheme="minorHAnsi"/>
          <w:color w:val="565656"/>
          <w:sz w:val="24"/>
          <w:szCs w:val="24"/>
        </w:rPr>
        <w:t xml:space="preserve"> 2 vi</w:t>
      </w:r>
      <w:r w:rsidRPr="007F764F">
        <w:rPr>
          <w:rFonts w:eastAsia="Times New Roman" w:cstheme="minorHAnsi"/>
          <w:color w:val="565656"/>
          <w:sz w:val="24"/>
          <w:szCs w:val="24"/>
        </w:rPr>
        <w:t>t</w:t>
      </w:r>
      <w:r>
        <w:rPr>
          <w:rFonts w:eastAsia="Times New Roman" w:cstheme="minorHAnsi"/>
          <w:color w:val="565656"/>
          <w:sz w:val="24"/>
          <w:szCs w:val="24"/>
        </w:rPr>
        <w:t>e</w:t>
      </w:r>
      <w:r w:rsidRPr="007F764F">
        <w:rPr>
          <w:rFonts w:eastAsia="Times New Roman" w:cstheme="minorHAnsi"/>
          <w:color w:val="565656"/>
          <w:sz w:val="24"/>
          <w:szCs w:val="24"/>
        </w:rPr>
        <w:t>ve, pa ndryshuar riskun për hemorragji madhore.</w:t>
      </w:r>
      <w:r>
        <w:rPr>
          <w:rFonts w:eastAsia="Times New Roman" w:cstheme="minorHAnsi"/>
          <w:color w:val="565656"/>
          <w:sz w:val="24"/>
          <w:szCs w:val="24"/>
        </w:rPr>
        <w:t xml:space="preserve"> </w:t>
      </w:r>
      <w:r w:rsidRPr="007F764F">
        <w:rPr>
          <w:rFonts w:eastAsia="Times New Roman" w:cstheme="minorHAnsi"/>
          <w:color w:val="565656"/>
          <w:sz w:val="24"/>
          <w:szCs w:val="24"/>
        </w:rPr>
        <w:t>(200)</w:t>
      </w:r>
    </w:p>
    <w:p w14:paraId="6C516DDD"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Këto studime sugjerojnë që NOAC-ët reduk</w:t>
      </w:r>
      <w:r>
        <w:rPr>
          <w:rFonts w:eastAsia="Times New Roman" w:cstheme="minorHAnsi"/>
          <w:color w:val="565656"/>
          <w:sz w:val="24"/>
          <w:szCs w:val="24"/>
        </w:rPr>
        <w:t xml:space="preserve">tojnë rrezikun për insult cerebral </w:t>
      </w:r>
      <w:r w:rsidRPr="007F764F">
        <w:rPr>
          <w:rFonts w:eastAsia="Times New Roman" w:cstheme="minorHAnsi"/>
          <w:color w:val="565656"/>
          <w:sz w:val="24"/>
          <w:szCs w:val="24"/>
        </w:rPr>
        <w:t xml:space="preserve">në krahasim me </w:t>
      </w:r>
      <w:r>
        <w:rPr>
          <w:rFonts w:eastAsia="Times New Roman" w:cstheme="minorHAnsi"/>
          <w:color w:val="565656"/>
          <w:sz w:val="24"/>
          <w:szCs w:val="24"/>
        </w:rPr>
        <w:t>antivitaminikët K</w:t>
      </w:r>
      <w:r w:rsidRPr="007F764F">
        <w:rPr>
          <w:rFonts w:eastAsia="Times New Roman" w:cstheme="minorHAnsi"/>
          <w:color w:val="565656"/>
          <w:sz w:val="24"/>
          <w:szCs w:val="24"/>
        </w:rPr>
        <w:t xml:space="preserve"> pavarësisht nga mosha, me shkallë të krahasueshme ose më të ulëta të hemorragjive madhore. Për shkak se provat theksojnë se mosha nuk është një arsye për të mosmarrë apo ndë</w:t>
      </w:r>
      <w:r>
        <w:rPr>
          <w:rFonts w:eastAsia="Times New Roman" w:cstheme="minorHAnsi"/>
          <w:color w:val="565656"/>
          <w:sz w:val="24"/>
          <w:szCs w:val="24"/>
        </w:rPr>
        <w:t>rprer</w:t>
      </w:r>
      <w:r w:rsidRPr="007F764F">
        <w:rPr>
          <w:rFonts w:eastAsia="Times New Roman" w:cstheme="minorHAnsi"/>
          <w:color w:val="565656"/>
          <w:sz w:val="24"/>
          <w:szCs w:val="24"/>
        </w:rPr>
        <w:t>ë antikoagulimin, mund të bëhet më shumë për të mbrojtu</w:t>
      </w:r>
      <w:r>
        <w:rPr>
          <w:rFonts w:eastAsia="Times New Roman" w:cstheme="minorHAnsi"/>
          <w:color w:val="565656"/>
          <w:sz w:val="24"/>
          <w:szCs w:val="24"/>
        </w:rPr>
        <w:t>r popullatën e moshuar me fibrilacion atrial.</w:t>
      </w:r>
      <w:r>
        <w:rPr>
          <w:rFonts w:eastAsia="Times New Roman" w:cstheme="minorHAnsi"/>
          <w:color w:val="565656"/>
          <w:sz w:val="24"/>
          <w:szCs w:val="24"/>
        </w:rPr>
        <w:br/>
        <w:t> </w:t>
      </w:r>
    </w:p>
    <w:p w14:paraId="0AF0AE0D" w14:textId="77777777" w:rsidR="009E1860" w:rsidRPr="0093055B" w:rsidRDefault="009E1860" w:rsidP="009E1860">
      <w:pPr>
        <w:suppressAutoHyphens/>
        <w:spacing w:beforeAutospacing="1" w:afterAutospacing="1" w:line="240" w:lineRule="auto"/>
        <w:textAlignment w:val="baseline"/>
        <w:outlineLvl w:val="3"/>
        <w:rPr>
          <w:rFonts w:eastAsia="Times New Roman" w:cstheme="minorHAnsi"/>
          <w:b/>
          <w:sz w:val="24"/>
          <w:szCs w:val="24"/>
        </w:rPr>
      </w:pPr>
      <w:r>
        <w:rPr>
          <w:rFonts w:eastAsia="Times New Roman" w:cstheme="minorHAnsi"/>
          <w:b/>
          <w:sz w:val="24"/>
          <w:szCs w:val="24"/>
        </w:rPr>
        <w:t>3.5.3 Rekomandimet e udhëzuesve</w:t>
      </w:r>
    </w:p>
    <w:p w14:paraId="4E51D874"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t xml:space="preserve">Udhëzuesit </w:t>
      </w:r>
      <w:r w:rsidRPr="007F764F">
        <w:rPr>
          <w:rFonts w:eastAsia="Times New Roman" w:cstheme="minorHAnsi"/>
          <w:color w:val="565656"/>
          <w:sz w:val="24"/>
          <w:szCs w:val="24"/>
        </w:rPr>
        <w:t>evropian</w:t>
      </w:r>
      <w:r>
        <w:rPr>
          <w:rFonts w:eastAsia="Times New Roman" w:cstheme="minorHAnsi"/>
          <w:color w:val="565656"/>
          <w:sz w:val="24"/>
          <w:szCs w:val="24"/>
        </w:rPr>
        <w:t>ë</w:t>
      </w:r>
      <w:r w:rsidRPr="007F764F">
        <w:rPr>
          <w:rFonts w:eastAsia="Times New Roman" w:cstheme="minorHAnsi"/>
          <w:color w:val="565656"/>
          <w:sz w:val="24"/>
          <w:szCs w:val="24"/>
        </w:rPr>
        <w:t xml:space="preserve"> dhe amerikan</w:t>
      </w:r>
      <w:r>
        <w:rPr>
          <w:rFonts w:eastAsia="Times New Roman" w:cstheme="minorHAnsi"/>
          <w:color w:val="565656"/>
          <w:sz w:val="24"/>
          <w:szCs w:val="24"/>
        </w:rPr>
        <w:t>ë</w:t>
      </w:r>
      <w:r w:rsidRPr="007F764F">
        <w:rPr>
          <w:rFonts w:eastAsia="Times New Roman" w:cstheme="minorHAnsi"/>
          <w:color w:val="565656"/>
          <w:sz w:val="24"/>
          <w:szCs w:val="24"/>
        </w:rPr>
        <w:t xml:space="preserve"> rekoma</w:t>
      </w:r>
      <w:r>
        <w:rPr>
          <w:rFonts w:eastAsia="Times New Roman" w:cstheme="minorHAnsi"/>
          <w:color w:val="565656"/>
          <w:sz w:val="24"/>
          <w:szCs w:val="24"/>
        </w:rPr>
        <w:t>ndojnë antikoagulimin për meshkujt</w:t>
      </w:r>
      <w:r w:rsidRPr="007F764F">
        <w:rPr>
          <w:rFonts w:eastAsia="Times New Roman" w:cstheme="minorHAnsi"/>
          <w:color w:val="565656"/>
          <w:sz w:val="24"/>
          <w:szCs w:val="24"/>
        </w:rPr>
        <w:t xml:space="preserve"> me një 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 ≥2 pikë dhe femrat ≥3; Antikoagulimi oral duhet të merret parasysh te meshkujt me</w:t>
      </w:r>
      <w:r w:rsidRPr="00921EA8">
        <w:rPr>
          <w:rFonts w:eastAsia="Times New Roman" w:cstheme="minorHAnsi"/>
          <w:color w:val="565656"/>
          <w:sz w:val="24"/>
          <w:szCs w:val="24"/>
        </w:rPr>
        <w:t xml:space="preserve"> </w:t>
      </w:r>
      <w:r w:rsidRPr="007F764F">
        <w:rPr>
          <w:rFonts w:eastAsia="Times New Roman" w:cstheme="minorHAnsi"/>
          <w:color w:val="565656"/>
          <w:sz w:val="24"/>
          <w:szCs w:val="24"/>
        </w:rPr>
        <w:t>CHA</w:t>
      </w:r>
      <w:r w:rsidRPr="007F764F">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7F764F">
        <w:rPr>
          <w:rFonts w:eastAsia="Times New Roman" w:cstheme="minorHAnsi"/>
          <w:color w:val="565656"/>
          <w:sz w:val="24"/>
          <w:szCs w:val="24"/>
          <w:vertAlign w:val="subscript"/>
        </w:rPr>
        <w:t>3</w:t>
      </w:r>
      <w:r w:rsidRPr="007F764F">
        <w:rPr>
          <w:rFonts w:eastAsia="Times New Roman" w:cstheme="minorHAnsi"/>
          <w:color w:val="565656"/>
          <w:sz w:val="24"/>
          <w:szCs w:val="24"/>
        </w:rPr>
        <w:t>-VASc</w:t>
      </w:r>
      <w:r>
        <w:rPr>
          <w:rFonts w:eastAsia="Times New Roman" w:cstheme="minorHAnsi"/>
          <w:color w:val="565656"/>
          <w:sz w:val="24"/>
          <w:szCs w:val="24"/>
        </w:rPr>
        <w:t xml:space="preserve"> </w:t>
      </w:r>
      <w:r w:rsidRPr="007F764F">
        <w:rPr>
          <w:rFonts w:eastAsia="Times New Roman" w:cstheme="minorHAnsi"/>
          <w:color w:val="565656"/>
          <w:sz w:val="24"/>
          <w:szCs w:val="24"/>
        </w:rPr>
        <w:t>≥1 pikë dhe te femrat me</w:t>
      </w:r>
      <w:r w:rsidRPr="00921EA8">
        <w:t xml:space="preserve"> </w:t>
      </w:r>
      <w:r w:rsidRPr="00921EA8">
        <w:rPr>
          <w:rFonts w:eastAsia="Times New Roman" w:cstheme="minorHAnsi"/>
          <w:color w:val="565656"/>
          <w:sz w:val="24"/>
          <w:szCs w:val="24"/>
        </w:rPr>
        <w:t>CHA</w:t>
      </w:r>
      <w:r w:rsidRPr="00921EA8">
        <w:rPr>
          <w:rFonts w:eastAsia="Times New Roman" w:cstheme="minorHAnsi"/>
          <w:color w:val="565656"/>
          <w:sz w:val="24"/>
          <w:szCs w:val="24"/>
          <w:vertAlign w:val="subscript"/>
        </w:rPr>
        <w:t>2</w:t>
      </w:r>
      <w:r w:rsidRPr="00921EA8">
        <w:rPr>
          <w:rFonts w:eastAsia="Times New Roman" w:cstheme="minorHAnsi"/>
          <w:color w:val="565656"/>
          <w:sz w:val="24"/>
          <w:szCs w:val="24"/>
        </w:rPr>
        <w:t>DS</w:t>
      </w:r>
      <w:r w:rsidRPr="00921EA8">
        <w:rPr>
          <w:rFonts w:eastAsia="Times New Roman" w:cstheme="minorHAnsi"/>
          <w:color w:val="565656"/>
          <w:sz w:val="24"/>
          <w:szCs w:val="24"/>
          <w:vertAlign w:val="subscript"/>
        </w:rPr>
        <w:t>3</w:t>
      </w:r>
      <w:r w:rsidRPr="00921EA8">
        <w:rPr>
          <w:rFonts w:eastAsia="Times New Roman" w:cstheme="minorHAnsi"/>
          <w:color w:val="565656"/>
          <w:sz w:val="24"/>
          <w:szCs w:val="24"/>
        </w:rPr>
        <w:t>-VASc</w:t>
      </w:r>
      <w:r w:rsidRPr="007F764F">
        <w:rPr>
          <w:rFonts w:eastAsia="Times New Roman" w:cstheme="minorHAnsi"/>
          <w:color w:val="565656"/>
          <w:sz w:val="24"/>
          <w:szCs w:val="24"/>
        </w:rPr>
        <w:t xml:space="preserve"> ≥2 pikë. Në praktikë, për shkak se gji</w:t>
      </w:r>
      <w:r>
        <w:rPr>
          <w:rFonts w:eastAsia="Times New Roman" w:cstheme="minorHAnsi"/>
          <w:color w:val="565656"/>
          <w:sz w:val="24"/>
          <w:szCs w:val="24"/>
        </w:rPr>
        <w:t>nia femërore zë një pike, çdo</w:t>
      </w:r>
      <w:r w:rsidRPr="007F764F">
        <w:rPr>
          <w:rFonts w:eastAsia="Times New Roman" w:cstheme="minorHAnsi"/>
          <w:color w:val="565656"/>
          <w:sz w:val="24"/>
          <w:szCs w:val="24"/>
        </w:rPr>
        <w:t xml:space="preserve"> paciente femë</w:t>
      </w:r>
      <w:r>
        <w:rPr>
          <w:rFonts w:eastAsia="Times New Roman" w:cstheme="minorHAnsi"/>
          <w:color w:val="565656"/>
          <w:sz w:val="24"/>
          <w:szCs w:val="24"/>
        </w:rPr>
        <w:t xml:space="preserve">r </w:t>
      </w:r>
      <w:r w:rsidRPr="007F764F">
        <w:rPr>
          <w:rFonts w:eastAsia="Times New Roman" w:cstheme="minorHAnsi"/>
          <w:color w:val="565656"/>
          <w:sz w:val="24"/>
          <w:szCs w:val="24"/>
        </w:rPr>
        <w:t>në prani të një faktori rreziku shtesë, duhet të kon</w:t>
      </w:r>
      <w:r>
        <w:rPr>
          <w:rFonts w:eastAsia="Times New Roman" w:cstheme="minorHAnsi"/>
          <w:color w:val="565656"/>
          <w:sz w:val="24"/>
          <w:szCs w:val="24"/>
        </w:rPr>
        <w:t xml:space="preserve">siderohet </w:t>
      </w:r>
      <w:r w:rsidRPr="007F764F">
        <w:rPr>
          <w:rFonts w:eastAsia="Times New Roman" w:cstheme="minorHAnsi"/>
          <w:color w:val="565656"/>
          <w:sz w:val="24"/>
          <w:szCs w:val="24"/>
        </w:rPr>
        <w:t>për antikoagulim</w:t>
      </w:r>
      <w:r>
        <w:rPr>
          <w:rFonts w:eastAsia="Times New Roman" w:cstheme="minorHAnsi"/>
          <w:color w:val="565656"/>
          <w:sz w:val="24"/>
          <w:szCs w:val="24"/>
        </w:rPr>
        <w:t xml:space="preserve"> </w:t>
      </w:r>
      <w:r w:rsidRPr="007F764F">
        <w:rPr>
          <w:rFonts w:eastAsia="Times New Roman" w:cstheme="minorHAnsi"/>
          <w:color w:val="565656"/>
          <w:sz w:val="24"/>
          <w:szCs w:val="24"/>
        </w:rPr>
        <w:t>oral.</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34E9A8AB"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sidRPr="007F764F">
        <w:rPr>
          <w:rFonts w:eastAsia="Times New Roman" w:cstheme="minorHAnsi"/>
          <w:color w:val="565656"/>
          <w:sz w:val="24"/>
          <w:szCs w:val="24"/>
        </w:rPr>
        <w:br/>
        <w:t>Mosha është një nga faktorët e rrezikut të konsideruar në sistemin e pikëzimit CHA</w:t>
      </w:r>
      <w:r w:rsidRPr="0093055B">
        <w:rPr>
          <w:rFonts w:eastAsia="Times New Roman" w:cstheme="minorHAnsi"/>
          <w:color w:val="565656"/>
          <w:sz w:val="24"/>
          <w:szCs w:val="24"/>
          <w:vertAlign w:val="subscript"/>
        </w:rPr>
        <w:t>2</w:t>
      </w:r>
      <w:r w:rsidRPr="007F764F">
        <w:rPr>
          <w:rFonts w:eastAsia="Times New Roman" w:cstheme="minorHAnsi"/>
          <w:color w:val="565656"/>
          <w:sz w:val="24"/>
          <w:szCs w:val="24"/>
        </w:rPr>
        <w:t>DS</w:t>
      </w:r>
      <w:r w:rsidRPr="0093055B">
        <w:rPr>
          <w:rFonts w:eastAsia="Times New Roman" w:cstheme="minorHAnsi"/>
          <w:color w:val="565656"/>
          <w:sz w:val="24"/>
          <w:szCs w:val="24"/>
          <w:vertAlign w:val="subscript"/>
        </w:rPr>
        <w:t>3</w:t>
      </w:r>
      <w:r>
        <w:rPr>
          <w:rFonts w:eastAsia="Times New Roman" w:cstheme="minorHAnsi"/>
          <w:color w:val="565656"/>
          <w:sz w:val="24"/>
          <w:szCs w:val="24"/>
        </w:rPr>
        <w:t xml:space="preserve">-VASc, (shiko paragrafin 2.1.1.) me </w:t>
      </w:r>
      <w:r w:rsidRPr="007F764F">
        <w:rPr>
          <w:rFonts w:eastAsia="Times New Roman" w:cstheme="minorHAnsi"/>
          <w:color w:val="565656"/>
          <w:sz w:val="24"/>
          <w:szCs w:val="24"/>
        </w:rPr>
        <w:t>moshën ≥75 vjeç që ka 2 pikë dhe moshë</w:t>
      </w:r>
      <w:r>
        <w:rPr>
          <w:rFonts w:eastAsia="Times New Roman" w:cstheme="minorHAnsi"/>
          <w:color w:val="565656"/>
          <w:sz w:val="24"/>
          <w:szCs w:val="24"/>
        </w:rPr>
        <w:t>n</w:t>
      </w:r>
      <w:r w:rsidRPr="007F764F">
        <w:rPr>
          <w:rFonts w:eastAsia="Times New Roman" w:cstheme="minorHAnsi"/>
          <w:color w:val="565656"/>
          <w:sz w:val="24"/>
          <w:szCs w:val="24"/>
        </w:rPr>
        <w:t xml:space="preserve"> &gt;</w:t>
      </w:r>
      <w:r>
        <w:rPr>
          <w:rFonts w:eastAsia="Times New Roman" w:cstheme="minorHAnsi"/>
          <w:color w:val="565656"/>
          <w:sz w:val="24"/>
          <w:szCs w:val="24"/>
        </w:rPr>
        <w:t xml:space="preserve"> </w:t>
      </w:r>
      <w:r w:rsidRPr="007F764F">
        <w:rPr>
          <w:rFonts w:eastAsia="Times New Roman" w:cstheme="minorHAnsi"/>
          <w:color w:val="565656"/>
          <w:sz w:val="24"/>
          <w:szCs w:val="24"/>
        </w:rPr>
        <w:t xml:space="preserve">65 vjeç që ka një pikë. Prandaj, antikoagulimi rekomandohet në të gjithë pacientët e moshës ≥75 vjeç edhe nëse ata nuk kanë faktorë të tjerë </w:t>
      </w:r>
      <w:r>
        <w:rPr>
          <w:rFonts w:eastAsia="Times New Roman" w:cstheme="minorHAnsi"/>
          <w:color w:val="565656"/>
          <w:sz w:val="24"/>
          <w:szCs w:val="24"/>
        </w:rPr>
        <w:t xml:space="preserve">rreziku shtesë dhe duhet marrë në konsideratë për të gjithë pacientët e </w:t>
      </w:r>
      <w:r w:rsidRPr="007F764F">
        <w:rPr>
          <w:rFonts w:eastAsia="Times New Roman" w:cstheme="minorHAnsi"/>
          <w:color w:val="565656"/>
          <w:sz w:val="24"/>
          <w:szCs w:val="24"/>
        </w:rPr>
        <w:t>moshës &gt;65 vjeç pa faktorë</w:t>
      </w:r>
      <w:r>
        <w:rPr>
          <w:rFonts w:eastAsia="Times New Roman" w:cstheme="minorHAnsi"/>
          <w:color w:val="565656"/>
          <w:sz w:val="24"/>
          <w:szCs w:val="24"/>
        </w:rPr>
        <w:t xml:space="preserve"> të tjerë</w:t>
      </w:r>
      <w:r w:rsidRPr="007F764F">
        <w:rPr>
          <w:rFonts w:eastAsia="Times New Roman" w:cstheme="minorHAnsi"/>
          <w:color w:val="565656"/>
          <w:sz w:val="24"/>
          <w:szCs w:val="24"/>
        </w:rPr>
        <w:t xml:space="preserve"> rreziku</w:t>
      </w:r>
      <w:r>
        <w:rPr>
          <w:rFonts w:eastAsia="Times New Roman" w:cstheme="minorHAnsi"/>
          <w:color w:val="565656"/>
          <w:sz w:val="24"/>
          <w:szCs w:val="24"/>
        </w:rPr>
        <w:t xml:space="preserve">. </w:t>
      </w:r>
      <w:r w:rsidRPr="007F764F">
        <w:rPr>
          <w:rFonts w:eastAsia="Times New Roman" w:cstheme="minorHAnsi"/>
          <w:color w:val="565656"/>
          <w:sz w:val="24"/>
          <w:szCs w:val="24"/>
        </w:rPr>
        <w:t>(62,123)</w:t>
      </w:r>
    </w:p>
    <w:p w14:paraId="02F86963" w14:textId="77777777" w:rsidR="009E1860" w:rsidRPr="007F764F" w:rsidRDefault="009E1860" w:rsidP="009E1860">
      <w:pPr>
        <w:suppressAutoHyphens/>
        <w:spacing w:after="0" w:line="240" w:lineRule="auto"/>
        <w:textAlignment w:val="baseline"/>
        <w:rPr>
          <w:rFonts w:eastAsia="Times New Roman" w:cstheme="minorHAnsi"/>
          <w:color w:val="565656"/>
          <w:sz w:val="24"/>
          <w:szCs w:val="24"/>
        </w:rPr>
      </w:pPr>
      <w:r>
        <w:rPr>
          <w:rFonts w:eastAsia="Times New Roman" w:cstheme="minorHAnsi"/>
          <w:color w:val="565656"/>
          <w:sz w:val="24"/>
          <w:szCs w:val="24"/>
        </w:rPr>
        <w:br/>
        <w:t>Udhëzuesit e</w:t>
      </w:r>
      <w:r w:rsidRPr="007F764F">
        <w:rPr>
          <w:rFonts w:eastAsia="Times New Roman" w:cstheme="minorHAnsi"/>
          <w:color w:val="565656"/>
          <w:sz w:val="24"/>
          <w:szCs w:val="24"/>
        </w:rPr>
        <w:t xml:space="preserve"> ESC dhe</w:t>
      </w:r>
      <w:r>
        <w:rPr>
          <w:rFonts w:eastAsia="Times New Roman" w:cstheme="minorHAnsi"/>
          <w:color w:val="565656"/>
          <w:sz w:val="24"/>
          <w:szCs w:val="24"/>
        </w:rPr>
        <w:t xml:space="preserve"> ACC/AHA/HRS për menaxhimin e fibrilacionit atrial</w:t>
      </w:r>
      <w:r w:rsidRPr="007F764F">
        <w:rPr>
          <w:rFonts w:eastAsia="Times New Roman" w:cstheme="minorHAnsi"/>
          <w:color w:val="565656"/>
          <w:sz w:val="24"/>
          <w:szCs w:val="24"/>
        </w:rPr>
        <w:t xml:space="preserve"> rekomandojnë NOAC </w:t>
      </w:r>
      <w:r>
        <w:rPr>
          <w:rFonts w:eastAsia="Times New Roman" w:cstheme="minorHAnsi"/>
          <w:color w:val="565656"/>
          <w:sz w:val="24"/>
          <w:szCs w:val="24"/>
        </w:rPr>
        <w:t>përkundrejt antivitaminikëve K për trajtimin e pacientëve</w:t>
      </w:r>
      <w:r w:rsidRPr="007F764F">
        <w:rPr>
          <w:rFonts w:eastAsia="Times New Roman" w:cstheme="minorHAnsi"/>
          <w:color w:val="565656"/>
          <w:sz w:val="24"/>
          <w:szCs w:val="24"/>
        </w:rPr>
        <w:t xml:space="preserve"> pa kundërindikim për NOAC. Për më tepër, për shkak se mosha shoqërohet me ulje të funksionit të veshkave, mund të duhet të merren parasysh udhëzimet për doza të reduktuara të NOAC në këtë popullatë.</w:t>
      </w:r>
      <w:r>
        <w:rPr>
          <w:rFonts w:eastAsia="Times New Roman" w:cstheme="minorHAnsi"/>
          <w:color w:val="565656"/>
          <w:sz w:val="24"/>
          <w:szCs w:val="24"/>
        </w:rPr>
        <w:t xml:space="preserve"> </w:t>
      </w:r>
      <w:r w:rsidRPr="007F764F">
        <w:rPr>
          <w:rFonts w:eastAsia="Times New Roman" w:cstheme="minorHAnsi"/>
          <w:color w:val="565656"/>
          <w:sz w:val="24"/>
          <w:szCs w:val="24"/>
        </w:rPr>
        <w:t>(123, 167-170)</w:t>
      </w:r>
    </w:p>
    <w:p w14:paraId="0EEFB676"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1D3788E4" w14:textId="77777777" w:rsidR="009E1860" w:rsidRPr="007F764F" w:rsidRDefault="009E1860" w:rsidP="009E1860">
      <w:pPr>
        <w:suppressAutoHyphens/>
        <w:spacing w:after="150" w:line="240" w:lineRule="auto"/>
        <w:textAlignment w:val="baseline"/>
        <w:rPr>
          <w:rFonts w:eastAsia="Times New Roman" w:cstheme="minorHAnsi"/>
          <w:color w:val="565656"/>
          <w:sz w:val="24"/>
          <w:szCs w:val="24"/>
        </w:rPr>
      </w:pPr>
    </w:p>
    <w:p w14:paraId="768B49E6" w14:textId="77777777" w:rsidR="009E1860" w:rsidRDefault="009E1860" w:rsidP="009E1860">
      <w:pPr>
        <w:autoSpaceDE w:val="0"/>
        <w:autoSpaceDN w:val="0"/>
        <w:adjustRightInd w:val="0"/>
        <w:spacing w:after="0" w:line="240" w:lineRule="auto"/>
        <w:rPr>
          <w:rFonts w:cstheme="minorHAnsi"/>
          <w:color w:val="00B36E"/>
          <w:sz w:val="24"/>
          <w:szCs w:val="24"/>
        </w:rPr>
      </w:pPr>
    </w:p>
    <w:p w14:paraId="589EE9CD" w14:textId="77777777" w:rsidR="009E1860" w:rsidRDefault="009E1860" w:rsidP="009E1860">
      <w:pPr>
        <w:autoSpaceDE w:val="0"/>
        <w:autoSpaceDN w:val="0"/>
        <w:adjustRightInd w:val="0"/>
        <w:spacing w:after="0" w:line="240" w:lineRule="auto"/>
        <w:rPr>
          <w:rFonts w:cstheme="minorHAnsi"/>
          <w:color w:val="00B36E"/>
          <w:sz w:val="24"/>
          <w:szCs w:val="24"/>
        </w:rPr>
      </w:pPr>
    </w:p>
    <w:p w14:paraId="637C3104" w14:textId="77777777" w:rsidR="009E1860" w:rsidRDefault="009E1860" w:rsidP="009E1860">
      <w:pPr>
        <w:autoSpaceDE w:val="0"/>
        <w:autoSpaceDN w:val="0"/>
        <w:adjustRightInd w:val="0"/>
        <w:spacing w:after="0" w:line="240" w:lineRule="auto"/>
        <w:rPr>
          <w:rFonts w:cstheme="minorHAnsi"/>
          <w:color w:val="00B36E"/>
          <w:sz w:val="24"/>
          <w:szCs w:val="24"/>
        </w:rPr>
      </w:pPr>
      <w:r>
        <w:rPr>
          <w:noProof/>
        </w:rPr>
        <w:drawing>
          <wp:inline distT="0" distB="0" distL="0" distR="0" wp14:anchorId="4C0E805C" wp14:editId="635F1BD7">
            <wp:extent cx="5943600" cy="390271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902710"/>
                    </a:xfrm>
                    <a:prstGeom prst="rect">
                      <a:avLst/>
                    </a:prstGeom>
                    <a:noFill/>
                    <a:ln>
                      <a:noFill/>
                    </a:ln>
                  </pic:spPr>
                </pic:pic>
              </a:graphicData>
            </a:graphic>
          </wp:inline>
        </w:drawing>
      </w:r>
    </w:p>
    <w:p w14:paraId="2E715499" w14:textId="77777777" w:rsidR="009E1860" w:rsidRDefault="009E1860" w:rsidP="009E1860">
      <w:pPr>
        <w:autoSpaceDE w:val="0"/>
        <w:autoSpaceDN w:val="0"/>
        <w:adjustRightInd w:val="0"/>
        <w:spacing w:after="0" w:line="240" w:lineRule="auto"/>
        <w:rPr>
          <w:rFonts w:cstheme="minorHAnsi"/>
          <w:color w:val="000000"/>
          <w:sz w:val="24"/>
          <w:szCs w:val="24"/>
        </w:rPr>
      </w:pPr>
    </w:p>
    <w:p w14:paraId="4CC74BDF" w14:textId="77777777" w:rsidR="009E1860" w:rsidRDefault="009E1860" w:rsidP="009E1860">
      <w:pPr>
        <w:autoSpaceDE w:val="0"/>
        <w:autoSpaceDN w:val="0"/>
        <w:adjustRightInd w:val="0"/>
        <w:spacing w:after="0" w:line="240" w:lineRule="auto"/>
        <w:rPr>
          <w:rFonts w:cstheme="minorHAnsi"/>
          <w:b/>
          <w:color w:val="000000"/>
          <w:sz w:val="28"/>
          <w:szCs w:val="28"/>
        </w:rPr>
      </w:pPr>
      <w:r>
        <w:rPr>
          <w:rFonts w:cstheme="minorHAnsi"/>
          <w:b/>
          <w:color w:val="000000"/>
          <w:sz w:val="28"/>
          <w:szCs w:val="28"/>
        </w:rPr>
        <w:t xml:space="preserve">3.6 Insulti akut cerebral dhe hemorragjia intrakraniale në pacientët me fibrilacion atrial </w:t>
      </w:r>
    </w:p>
    <w:p w14:paraId="14B67F22" w14:textId="77777777" w:rsidR="009E1860" w:rsidRDefault="009E1860" w:rsidP="009E1860">
      <w:pPr>
        <w:autoSpaceDE w:val="0"/>
        <w:autoSpaceDN w:val="0"/>
        <w:adjustRightInd w:val="0"/>
        <w:spacing w:after="0" w:line="240" w:lineRule="auto"/>
        <w:rPr>
          <w:rFonts w:cstheme="minorHAnsi"/>
          <w:b/>
          <w:color w:val="000000"/>
          <w:sz w:val="24"/>
          <w:szCs w:val="24"/>
        </w:rPr>
      </w:pPr>
    </w:p>
    <w:p w14:paraId="3837FC04" w14:textId="77777777" w:rsidR="009E1860" w:rsidRPr="00CC6AA2" w:rsidRDefault="009E1860" w:rsidP="009E1860">
      <w:pPr>
        <w:autoSpaceDE w:val="0"/>
        <w:autoSpaceDN w:val="0"/>
        <w:adjustRightInd w:val="0"/>
        <w:spacing w:after="0" w:line="240" w:lineRule="auto"/>
        <w:rPr>
          <w:rFonts w:cstheme="minorHAnsi"/>
          <w:b/>
          <w:color w:val="000000"/>
          <w:sz w:val="28"/>
          <w:szCs w:val="28"/>
        </w:rPr>
      </w:pPr>
      <w:r w:rsidRPr="004C6A2C">
        <w:rPr>
          <w:rFonts w:cstheme="minorHAnsi"/>
          <w:b/>
          <w:color w:val="000000"/>
          <w:sz w:val="24"/>
          <w:szCs w:val="24"/>
        </w:rPr>
        <w:t>3.6.1 Parandalimi dyt</w:t>
      </w:r>
      <w:r>
        <w:rPr>
          <w:rFonts w:cstheme="minorHAnsi"/>
          <w:b/>
          <w:color w:val="000000"/>
          <w:sz w:val="24"/>
          <w:szCs w:val="24"/>
        </w:rPr>
        <w:t>ë</w:t>
      </w:r>
      <w:r w:rsidRPr="004C6A2C">
        <w:rPr>
          <w:rFonts w:cstheme="minorHAnsi"/>
          <w:b/>
          <w:color w:val="000000"/>
          <w:sz w:val="24"/>
          <w:szCs w:val="24"/>
        </w:rPr>
        <w:t>sor i in</w:t>
      </w:r>
      <w:r>
        <w:rPr>
          <w:rFonts w:cstheme="minorHAnsi"/>
          <w:b/>
          <w:color w:val="000000"/>
          <w:sz w:val="24"/>
          <w:szCs w:val="24"/>
        </w:rPr>
        <w:t xml:space="preserve">sultit </w:t>
      </w:r>
      <w:r w:rsidRPr="004C6A2C">
        <w:rPr>
          <w:rFonts w:cstheme="minorHAnsi"/>
          <w:b/>
          <w:color w:val="000000"/>
          <w:sz w:val="24"/>
          <w:szCs w:val="24"/>
        </w:rPr>
        <w:t>cerebral dhe atakut ishemik tranzitor (TIA) n</w:t>
      </w:r>
      <w:r>
        <w:rPr>
          <w:rFonts w:cstheme="minorHAnsi"/>
          <w:b/>
          <w:color w:val="000000"/>
          <w:sz w:val="24"/>
          <w:szCs w:val="24"/>
        </w:rPr>
        <w:t>ë</w:t>
      </w:r>
      <w:r w:rsidRPr="004C6A2C">
        <w:rPr>
          <w:rFonts w:cstheme="minorHAnsi"/>
          <w:b/>
          <w:color w:val="000000"/>
          <w:sz w:val="24"/>
          <w:szCs w:val="24"/>
        </w:rPr>
        <w:t xml:space="preserve"> pacient</w:t>
      </w:r>
      <w:r>
        <w:rPr>
          <w:rFonts w:cstheme="minorHAnsi"/>
          <w:b/>
          <w:color w:val="000000"/>
          <w:sz w:val="24"/>
          <w:szCs w:val="24"/>
        </w:rPr>
        <w:t>ë</w:t>
      </w:r>
      <w:r w:rsidRPr="004C6A2C">
        <w:rPr>
          <w:rFonts w:cstheme="minorHAnsi"/>
          <w:b/>
          <w:color w:val="000000"/>
          <w:sz w:val="24"/>
          <w:szCs w:val="24"/>
        </w:rPr>
        <w:t>t me fibrilacion</w:t>
      </w:r>
      <w:r w:rsidRPr="00CC6AA2">
        <w:rPr>
          <w:rFonts w:cstheme="minorHAnsi"/>
          <w:b/>
          <w:color w:val="000000"/>
          <w:sz w:val="28"/>
          <w:szCs w:val="28"/>
        </w:rPr>
        <w:t xml:space="preserve"> </w:t>
      </w:r>
      <w:r w:rsidRPr="00152CDD">
        <w:rPr>
          <w:rFonts w:cstheme="minorHAnsi"/>
          <w:b/>
          <w:color w:val="000000"/>
          <w:sz w:val="24"/>
          <w:szCs w:val="24"/>
        </w:rPr>
        <w:t xml:space="preserve">atrial </w:t>
      </w:r>
    </w:p>
    <w:p w14:paraId="56CBF5E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9A6621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 pacientët me </w:t>
      </w:r>
      <w:r>
        <w:rPr>
          <w:rFonts w:cstheme="minorHAnsi"/>
          <w:color w:val="000000"/>
          <w:sz w:val="24"/>
          <w:szCs w:val="24"/>
        </w:rPr>
        <w:t>fibrilacion atrial</w:t>
      </w:r>
      <w:r w:rsidRPr="007F764F">
        <w:rPr>
          <w:rFonts w:cstheme="minorHAnsi"/>
          <w:color w:val="000000"/>
          <w:sz w:val="24"/>
          <w:szCs w:val="24"/>
        </w:rPr>
        <w:t xml:space="preserve"> që p</w:t>
      </w:r>
      <w:r>
        <w:rPr>
          <w:rFonts w:cstheme="minorHAnsi"/>
          <w:color w:val="000000"/>
          <w:sz w:val="24"/>
          <w:szCs w:val="24"/>
        </w:rPr>
        <w:t xml:space="preserve">ësojnë insult ishemik </w:t>
      </w:r>
      <w:r w:rsidRPr="007F764F">
        <w:rPr>
          <w:rFonts w:cstheme="minorHAnsi"/>
          <w:color w:val="000000"/>
          <w:sz w:val="24"/>
          <w:szCs w:val="24"/>
        </w:rPr>
        <w:t xml:space="preserve">akut gjatë marrjes së </w:t>
      </w:r>
      <w:r>
        <w:rPr>
          <w:rFonts w:cstheme="minorHAnsi"/>
          <w:color w:val="000000"/>
          <w:sz w:val="24"/>
          <w:szCs w:val="24"/>
        </w:rPr>
        <w:t xml:space="preserve">një </w:t>
      </w:r>
      <w:r w:rsidRPr="007F764F">
        <w:rPr>
          <w:rFonts w:cstheme="minorHAnsi"/>
          <w:color w:val="000000"/>
          <w:sz w:val="24"/>
          <w:szCs w:val="24"/>
        </w:rPr>
        <w:t>antikoagulanti</w:t>
      </w:r>
      <w:r>
        <w:rPr>
          <w:rFonts w:cstheme="minorHAnsi"/>
          <w:color w:val="000000"/>
          <w:sz w:val="24"/>
          <w:szCs w:val="24"/>
        </w:rPr>
        <w:t xml:space="preserve"> </w:t>
      </w:r>
      <w:r w:rsidRPr="007F764F">
        <w:rPr>
          <w:rFonts w:cstheme="minorHAnsi"/>
          <w:color w:val="000000"/>
          <w:sz w:val="24"/>
          <w:szCs w:val="24"/>
        </w:rPr>
        <w:t xml:space="preserve">oral, terapia akute varet nga regjimi i trajtimit dhe intensiteti i antikoagulimit. Pacientët </w:t>
      </w:r>
      <w:r>
        <w:rPr>
          <w:rFonts w:cstheme="minorHAnsi"/>
          <w:color w:val="000000"/>
          <w:sz w:val="24"/>
          <w:szCs w:val="24"/>
        </w:rPr>
        <w:t>nën antivitaminikë K</w:t>
      </w:r>
      <w:r w:rsidRPr="007F764F">
        <w:rPr>
          <w:rFonts w:cstheme="minorHAnsi"/>
          <w:color w:val="000000"/>
          <w:sz w:val="24"/>
          <w:szCs w:val="24"/>
        </w:rPr>
        <w:t xml:space="preserve"> me INR&lt;1.7 kanë </w:t>
      </w:r>
      <w:r>
        <w:rPr>
          <w:rFonts w:cstheme="minorHAnsi"/>
          <w:color w:val="000000"/>
          <w:sz w:val="24"/>
          <w:szCs w:val="24"/>
        </w:rPr>
        <w:t xml:space="preserve">mund t’u kryhet </w:t>
      </w:r>
      <w:r w:rsidRPr="007F764F">
        <w:rPr>
          <w:rFonts w:cstheme="minorHAnsi"/>
          <w:color w:val="000000"/>
          <w:sz w:val="24"/>
          <w:szCs w:val="24"/>
        </w:rPr>
        <w:t>trombolizë sipas indikacionit neurologjik (nëse paraqite</w:t>
      </w:r>
      <w:r>
        <w:rPr>
          <w:rFonts w:cstheme="minorHAnsi"/>
          <w:color w:val="000000"/>
          <w:sz w:val="24"/>
          <w:szCs w:val="24"/>
        </w:rPr>
        <w:t>n</w:t>
      </w:r>
      <w:r w:rsidRPr="007F764F">
        <w:rPr>
          <w:rFonts w:cstheme="minorHAnsi"/>
          <w:color w:val="000000"/>
          <w:sz w:val="24"/>
          <w:szCs w:val="24"/>
        </w:rPr>
        <w:t xml:space="preserve"> me një deficit neurologjik klinikisht të rëndësishëm brenda afatit kohor të duhur dhe hemorragjia intrakraniale përjashtohet me imazheri cerebrale). Në pacientët që marrin NOAC, matja e kohës së tromboplastinës së pjesëshme të aktivizuar ose kohës së trombinës (për dabigatran), ose niveleve të antifaktorit Xa (për frenuesit e faktorit Xa</w:t>
      </w:r>
      <w:r>
        <w:rPr>
          <w:rFonts w:cstheme="minorHAnsi"/>
          <w:color w:val="000000"/>
          <w:sz w:val="24"/>
          <w:szCs w:val="24"/>
        </w:rPr>
        <w:t>-apixaban, rivaroxaban dhe dabigatran</w:t>
      </w:r>
      <w:r w:rsidRPr="007F764F">
        <w:rPr>
          <w:rFonts w:cstheme="minorHAnsi"/>
          <w:color w:val="000000"/>
          <w:sz w:val="24"/>
          <w:szCs w:val="24"/>
        </w:rPr>
        <w:t xml:space="preserve">) jep informacion nëse pacienti është sistemikisht i antikoaguluar. Kurdoherë që është e mundur, koha kur është marrë doza e fundit </w:t>
      </w:r>
      <w:r>
        <w:rPr>
          <w:rFonts w:cstheme="minorHAnsi"/>
          <w:color w:val="000000"/>
          <w:sz w:val="24"/>
          <w:szCs w:val="24"/>
        </w:rPr>
        <w:t xml:space="preserve">e </w:t>
      </w:r>
      <w:r w:rsidRPr="007F764F">
        <w:rPr>
          <w:rFonts w:cstheme="minorHAnsi"/>
          <w:color w:val="000000"/>
          <w:sz w:val="24"/>
          <w:szCs w:val="24"/>
        </w:rPr>
        <w:t xml:space="preserve">NOAC duhet të sqarohet (përgjithësisht, tromboliza konsiderohet të jetë e sigurt në pacientët me marrjen e fundit të NOAC </w:t>
      </w:r>
      <w:r>
        <w:rPr>
          <w:rFonts w:cstheme="minorHAnsi"/>
          <w:color w:val="000000"/>
          <w:sz w:val="24"/>
          <w:szCs w:val="24"/>
        </w:rPr>
        <w:t xml:space="preserve">më shumë se </w:t>
      </w:r>
      <w:r w:rsidRPr="007F764F">
        <w:rPr>
          <w:rFonts w:cstheme="minorHAnsi"/>
          <w:color w:val="000000"/>
          <w:sz w:val="24"/>
          <w:szCs w:val="24"/>
        </w:rPr>
        <w:t>48 orë</w:t>
      </w:r>
      <w:r>
        <w:rPr>
          <w:rFonts w:cstheme="minorHAnsi"/>
          <w:color w:val="000000"/>
          <w:sz w:val="24"/>
          <w:szCs w:val="24"/>
        </w:rPr>
        <w:t xml:space="preserve"> më parë</w:t>
      </w:r>
      <w:r w:rsidRPr="007F764F">
        <w:rPr>
          <w:rFonts w:cstheme="minorHAnsi"/>
          <w:color w:val="000000"/>
          <w:sz w:val="24"/>
          <w:szCs w:val="24"/>
        </w:rPr>
        <w:t>, duke supozuar funksionin normal të veshkave).</w:t>
      </w:r>
      <w:r>
        <w:rPr>
          <w:rFonts w:cstheme="minorHAnsi"/>
          <w:color w:val="000000"/>
          <w:sz w:val="24"/>
          <w:szCs w:val="24"/>
        </w:rPr>
        <w:t xml:space="preserve"> </w:t>
      </w:r>
      <w:r w:rsidRPr="007F764F">
        <w:rPr>
          <w:rFonts w:cstheme="minorHAnsi"/>
          <w:color w:val="000000"/>
          <w:sz w:val="24"/>
          <w:szCs w:val="24"/>
        </w:rPr>
        <w:t>(166)</w:t>
      </w:r>
    </w:p>
    <w:p w14:paraId="2F0DA96E" w14:textId="77777777" w:rsidR="009E1860" w:rsidRPr="007F764F" w:rsidRDefault="009E1860" w:rsidP="009E1860">
      <w:pPr>
        <w:autoSpaceDE w:val="0"/>
        <w:autoSpaceDN w:val="0"/>
        <w:adjustRightInd w:val="0"/>
        <w:spacing w:after="0" w:line="240" w:lineRule="auto"/>
        <w:rPr>
          <w:rFonts w:cstheme="minorHAnsi"/>
          <w:color w:val="0000FF"/>
          <w:sz w:val="24"/>
          <w:szCs w:val="24"/>
        </w:rPr>
      </w:pPr>
    </w:p>
    <w:p w14:paraId="3A29A6B8"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Nëse pacienti është sistemikisht i antikoaguluar, tromboliza nuk duhet të kryhet për shkak të rrezikut të hemorragjisë dhe duhet të merret parasysh trajtimi endovaskular. Në pacientët që marrin dabigatran, tromboliza sistemike mund të kryhet pas anulimit të veprimit të dabigatranit </w:t>
      </w:r>
      <w:r>
        <w:rPr>
          <w:rFonts w:cstheme="minorHAnsi"/>
          <w:color w:val="000000"/>
          <w:sz w:val="24"/>
          <w:szCs w:val="24"/>
        </w:rPr>
        <w:t xml:space="preserve">me antidotin e tij, </w:t>
      </w:r>
      <w:r w:rsidRPr="007F764F">
        <w:rPr>
          <w:rFonts w:cstheme="minorHAnsi"/>
          <w:color w:val="000000"/>
          <w:sz w:val="24"/>
          <w:szCs w:val="24"/>
        </w:rPr>
        <w:t>idarucizumab.</w:t>
      </w:r>
      <w:r>
        <w:rPr>
          <w:rFonts w:cstheme="minorHAnsi"/>
          <w:color w:val="000000"/>
          <w:sz w:val="24"/>
          <w:szCs w:val="24"/>
        </w:rPr>
        <w:t xml:space="preserve"> </w:t>
      </w:r>
      <w:r w:rsidRPr="007F764F">
        <w:rPr>
          <w:rFonts w:cstheme="minorHAnsi"/>
          <w:color w:val="000000"/>
          <w:sz w:val="24"/>
          <w:szCs w:val="24"/>
        </w:rPr>
        <w:t>(202)</w:t>
      </w:r>
    </w:p>
    <w:p w14:paraId="6AEDBECD"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3DBDB622"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Parandalimi dytësor i </w:t>
      </w:r>
      <w:r>
        <w:rPr>
          <w:rFonts w:cstheme="minorHAnsi"/>
          <w:color w:val="000000"/>
          <w:sz w:val="24"/>
          <w:szCs w:val="24"/>
        </w:rPr>
        <w:t>insultit/</w:t>
      </w:r>
      <w:r w:rsidRPr="007F764F">
        <w:rPr>
          <w:rFonts w:cstheme="minorHAnsi"/>
          <w:color w:val="000000"/>
          <w:sz w:val="24"/>
          <w:szCs w:val="24"/>
        </w:rPr>
        <w:t xml:space="preserve">infarktit cerebral/embolisë sistemike në pacientët pas </w:t>
      </w:r>
      <w:r>
        <w:rPr>
          <w:rFonts w:cstheme="minorHAnsi"/>
          <w:color w:val="000000"/>
          <w:sz w:val="24"/>
          <w:szCs w:val="24"/>
        </w:rPr>
        <w:t xml:space="preserve">insultit </w:t>
      </w:r>
      <w:r w:rsidRPr="007F764F">
        <w:rPr>
          <w:rFonts w:cstheme="minorHAnsi"/>
          <w:color w:val="000000"/>
          <w:sz w:val="24"/>
          <w:szCs w:val="24"/>
        </w:rPr>
        <w:t xml:space="preserve">akut cerebral </w:t>
      </w:r>
      <w:r>
        <w:rPr>
          <w:rFonts w:cstheme="minorHAnsi"/>
          <w:color w:val="000000"/>
          <w:sz w:val="24"/>
          <w:szCs w:val="24"/>
        </w:rPr>
        <w:t xml:space="preserve">ose atakut ishemik tranzitor në terren të fibrilacionit atrial, </w:t>
      </w:r>
      <w:r w:rsidRPr="007F764F">
        <w:rPr>
          <w:rFonts w:cstheme="minorHAnsi"/>
          <w:color w:val="000000"/>
          <w:sz w:val="24"/>
          <w:szCs w:val="24"/>
        </w:rPr>
        <w:t>përfshin parandalimin e hershëm të përsëritjes së infarktit cerebral në 2 javë</w:t>
      </w:r>
      <w:r>
        <w:rPr>
          <w:rFonts w:cstheme="minorHAnsi"/>
          <w:color w:val="000000"/>
          <w:sz w:val="24"/>
          <w:szCs w:val="24"/>
        </w:rPr>
        <w:t>t</w:t>
      </w:r>
      <w:r w:rsidRPr="007F764F">
        <w:rPr>
          <w:rFonts w:cstheme="minorHAnsi"/>
          <w:color w:val="000000"/>
          <w:sz w:val="24"/>
          <w:szCs w:val="24"/>
        </w:rPr>
        <w:t xml:space="preserve"> pas ngjarjes dhe parandalimin afatgjatë më pas.</w:t>
      </w:r>
    </w:p>
    <w:p w14:paraId="32011357"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E4FB40A"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Ndërsa madhësia e infarktit/</w:t>
      </w:r>
      <w:r>
        <w:rPr>
          <w:rFonts w:cstheme="minorHAnsi"/>
          <w:color w:val="000000"/>
          <w:sz w:val="24"/>
          <w:szCs w:val="24"/>
        </w:rPr>
        <w:t>insultit cerebral/</w:t>
      </w:r>
      <w:r w:rsidRPr="007F764F">
        <w:rPr>
          <w:rFonts w:cstheme="minorHAnsi"/>
          <w:color w:val="000000"/>
          <w:sz w:val="24"/>
          <w:szCs w:val="24"/>
        </w:rPr>
        <w:t>shkalla e goditjes përdoret klinikisht për të udhëzuar kohën e fillimit të antikoagulimit oral, (166) dobia e një qasjeje të tillë në vlerësimin e përfitimit neto të trajtimit të hershëm mund të jetë e kufizuar. Mungojnë të dhëna të forta për të përcaktuar kohën optimale për (ri)fillimin e antikoagulimit oral pas goditjes akute. Nga këndvështrimi kardiologji</w:t>
      </w:r>
      <w:r>
        <w:rPr>
          <w:rFonts w:cstheme="minorHAnsi"/>
          <w:color w:val="000000"/>
          <w:sz w:val="24"/>
          <w:szCs w:val="24"/>
        </w:rPr>
        <w:t xml:space="preserve">k, antikoagulimi oral duhet të </w:t>
      </w:r>
      <w:r w:rsidRPr="007F764F">
        <w:rPr>
          <w:rFonts w:cstheme="minorHAnsi"/>
          <w:color w:val="000000"/>
          <w:sz w:val="24"/>
          <w:szCs w:val="24"/>
        </w:rPr>
        <w:t>(ri)fillohet</w:t>
      </w:r>
      <w:r>
        <w:rPr>
          <w:rFonts w:cstheme="minorHAnsi"/>
          <w:color w:val="000000"/>
          <w:sz w:val="24"/>
          <w:szCs w:val="24"/>
        </w:rPr>
        <w:t xml:space="preserve"> </w:t>
      </w:r>
      <w:r w:rsidRPr="007F764F">
        <w:rPr>
          <w:rFonts w:cstheme="minorHAnsi"/>
          <w:color w:val="000000"/>
          <w:sz w:val="24"/>
          <w:szCs w:val="24"/>
        </w:rPr>
        <w:t>sa më shpejt që konsiderohet e mundur nga perspektiva neurologjike (në shumicën e rasteve brenda 2 javëve të para). Konsiderohet e p</w:t>
      </w:r>
      <w:r>
        <w:rPr>
          <w:rFonts w:cstheme="minorHAnsi"/>
          <w:color w:val="000000"/>
          <w:sz w:val="24"/>
          <w:szCs w:val="24"/>
        </w:rPr>
        <w:t>ë</w:t>
      </w:r>
      <w:r w:rsidRPr="007F764F">
        <w:rPr>
          <w:rFonts w:cstheme="minorHAnsi"/>
          <w:color w:val="000000"/>
          <w:sz w:val="24"/>
          <w:szCs w:val="24"/>
        </w:rPr>
        <w:t>rshtatshme një qasje multidisiplinare me përfshirjen e specialistëve të infarktit</w:t>
      </w:r>
      <w:r>
        <w:rPr>
          <w:rFonts w:cstheme="minorHAnsi"/>
          <w:color w:val="000000"/>
          <w:sz w:val="24"/>
          <w:szCs w:val="24"/>
        </w:rPr>
        <w:t>/insultit</w:t>
      </w:r>
      <w:r w:rsidRPr="007F764F">
        <w:rPr>
          <w:rFonts w:cstheme="minorHAnsi"/>
          <w:color w:val="000000"/>
          <w:sz w:val="24"/>
          <w:szCs w:val="24"/>
        </w:rPr>
        <w:t xml:space="preserve"> cerebr</w:t>
      </w:r>
      <w:r>
        <w:rPr>
          <w:rFonts w:cstheme="minorHAnsi"/>
          <w:color w:val="000000"/>
          <w:sz w:val="24"/>
          <w:szCs w:val="24"/>
        </w:rPr>
        <w:t>al, kardiologëve dhe pacientëve.</w:t>
      </w:r>
    </w:p>
    <w:p w14:paraId="02BACFC2"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53C0FD26"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Pr>
          <w:rFonts w:cstheme="minorHAnsi"/>
          <w:color w:val="000000"/>
          <w:sz w:val="24"/>
          <w:szCs w:val="24"/>
        </w:rPr>
        <w:t>Në pacientët me fibrilacion atrial</w:t>
      </w:r>
      <w:r w:rsidRPr="007F764F">
        <w:rPr>
          <w:rFonts w:cstheme="minorHAnsi"/>
          <w:color w:val="000000"/>
          <w:sz w:val="24"/>
          <w:szCs w:val="24"/>
        </w:rPr>
        <w:t xml:space="preserve"> të cilët paraqiten me infarkt ishemik akut pavarësisht</w:t>
      </w:r>
    </w:p>
    <w:p w14:paraId="2DBC7313"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marrjes së</w:t>
      </w:r>
      <w:r>
        <w:rPr>
          <w:rFonts w:cstheme="minorHAnsi"/>
          <w:color w:val="000000"/>
          <w:sz w:val="24"/>
          <w:szCs w:val="24"/>
        </w:rPr>
        <w:t xml:space="preserve"> antikoagulantit oral, </w:t>
      </w:r>
      <w:r w:rsidRPr="007F764F">
        <w:rPr>
          <w:rFonts w:cstheme="minorHAnsi"/>
          <w:color w:val="000000"/>
          <w:sz w:val="24"/>
          <w:szCs w:val="24"/>
        </w:rPr>
        <w:t xml:space="preserve">optimizimi i terapisë </w:t>
      </w:r>
      <w:r>
        <w:rPr>
          <w:rFonts w:cstheme="minorHAnsi"/>
          <w:color w:val="000000"/>
          <w:sz w:val="24"/>
          <w:szCs w:val="24"/>
        </w:rPr>
        <w:t xml:space="preserve">me </w:t>
      </w:r>
      <w:r w:rsidRPr="007F764F">
        <w:rPr>
          <w:rFonts w:cstheme="minorHAnsi"/>
          <w:color w:val="000000"/>
          <w:sz w:val="24"/>
          <w:szCs w:val="24"/>
        </w:rPr>
        <w:t xml:space="preserve">antikoagulant oral është i një rëndësie kyçe-nëse pacienti ishte duke përdorur VKA, duhet optimizuar koha brenda kufirit terapeutik TTR – Time in therapeutic range (në mënyrë ideale &gt;70%) ose </w:t>
      </w:r>
      <w:r>
        <w:rPr>
          <w:rFonts w:cstheme="minorHAnsi"/>
          <w:color w:val="000000"/>
          <w:sz w:val="24"/>
          <w:szCs w:val="24"/>
        </w:rPr>
        <w:t xml:space="preserve">të kalohet </w:t>
      </w:r>
      <w:r w:rsidRPr="007F764F">
        <w:rPr>
          <w:rFonts w:cstheme="minorHAnsi"/>
          <w:color w:val="000000"/>
          <w:sz w:val="24"/>
          <w:szCs w:val="24"/>
        </w:rPr>
        <w:t>në një NOAC; nëse pacienti ishte duke përdorur NOAC, mjeku duhet të</w:t>
      </w:r>
      <w:r>
        <w:rPr>
          <w:rFonts w:cstheme="minorHAnsi"/>
          <w:color w:val="000000"/>
          <w:sz w:val="24"/>
          <w:szCs w:val="24"/>
        </w:rPr>
        <w:t xml:space="preserve"> sigurohet që</w:t>
      </w:r>
      <w:r w:rsidRPr="007F764F">
        <w:rPr>
          <w:rFonts w:cstheme="minorHAnsi"/>
          <w:color w:val="000000"/>
          <w:sz w:val="24"/>
          <w:szCs w:val="24"/>
        </w:rPr>
        <w:t xml:space="preserve"> pacienti të marrë dozën e duhur dhe të respektojë me korrektësi marrjen e trajtimit</w:t>
      </w:r>
      <w:r>
        <w:rPr>
          <w:rFonts w:cstheme="minorHAnsi"/>
          <w:color w:val="000000"/>
          <w:sz w:val="24"/>
          <w:szCs w:val="24"/>
        </w:rPr>
        <w:t>. (</w:t>
      </w:r>
      <w:r w:rsidRPr="007F764F">
        <w:rPr>
          <w:rFonts w:cstheme="minorHAnsi"/>
          <w:color w:val="000000"/>
          <w:sz w:val="24"/>
          <w:szCs w:val="24"/>
        </w:rPr>
        <w:t>115)</w:t>
      </w:r>
    </w:p>
    <w:p w14:paraId="3197695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18B0BC05"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 xml:space="preserve">Dozimi i papërshtatshëm i NOAC, marrja e NOAC-ut në dozë më të ulët se ajo e rekomanduar nga frika e hemorragjisë, është shoqëruar me rrezik të shtuar </w:t>
      </w:r>
      <w:r>
        <w:rPr>
          <w:rFonts w:cstheme="minorHAnsi"/>
          <w:color w:val="000000"/>
          <w:sz w:val="24"/>
          <w:szCs w:val="24"/>
        </w:rPr>
        <w:t>për</w:t>
      </w:r>
      <w:r w:rsidRPr="007F764F">
        <w:rPr>
          <w:rFonts w:cstheme="minorHAnsi"/>
          <w:color w:val="000000"/>
          <w:sz w:val="24"/>
          <w:szCs w:val="24"/>
        </w:rPr>
        <w:t xml:space="preserve"> infarkt</w:t>
      </w:r>
      <w:r>
        <w:rPr>
          <w:rFonts w:cstheme="minorHAnsi"/>
          <w:color w:val="000000"/>
          <w:sz w:val="24"/>
          <w:szCs w:val="24"/>
        </w:rPr>
        <w:t>/</w:t>
      </w:r>
      <w:r w:rsidRPr="007F764F">
        <w:rPr>
          <w:rFonts w:cstheme="minorHAnsi"/>
          <w:color w:val="000000"/>
          <w:sz w:val="24"/>
          <w:szCs w:val="24"/>
        </w:rPr>
        <w:t>emboli sistemike, shtrim në spital dhe vdekje, pa ulje të dukshme të rrezikut për hemorragji.</w:t>
      </w:r>
      <w:r>
        <w:rPr>
          <w:rFonts w:cstheme="minorHAnsi"/>
          <w:color w:val="000000"/>
          <w:sz w:val="24"/>
          <w:szCs w:val="24"/>
        </w:rPr>
        <w:t xml:space="preserve"> </w:t>
      </w:r>
      <w:r w:rsidRPr="007F764F">
        <w:rPr>
          <w:rFonts w:cstheme="minorHAnsi"/>
          <w:color w:val="000000"/>
          <w:sz w:val="24"/>
          <w:szCs w:val="24"/>
        </w:rPr>
        <w:t>(115)</w:t>
      </w:r>
      <w:r>
        <w:rPr>
          <w:rFonts w:cstheme="minorHAnsi"/>
          <w:color w:val="000000"/>
          <w:sz w:val="24"/>
          <w:szCs w:val="24"/>
        </w:rPr>
        <w:t xml:space="preserve"> </w:t>
      </w:r>
      <w:r w:rsidRPr="002A5D01">
        <w:rPr>
          <w:rFonts w:cstheme="minorHAnsi"/>
          <w:color w:val="000000"/>
          <w:sz w:val="24"/>
          <w:szCs w:val="24"/>
        </w:rPr>
        <w:t>M</w:t>
      </w:r>
      <w:r>
        <w:rPr>
          <w:rFonts w:cstheme="minorHAnsi"/>
          <w:color w:val="000000"/>
          <w:sz w:val="24"/>
          <w:szCs w:val="24"/>
        </w:rPr>
        <w:t>ë</w:t>
      </w:r>
      <w:r w:rsidRPr="002A5D01">
        <w:rPr>
          <w:rFonts w:cstheme="minorHAnsi"/>
          <w:color w:val="000000"/>
          <w:sz w:val="24"/>
          <w:szCs w:val="24"/>
        </w:rPr>
        <w:t xml:space="preserve"> posht</w:t>
      </w:r>
      <w:r>
        <w:rPr>
          <w:rFonts w:cstheme="minorHAnsi"/>
          <w:color w:val="000000"/>
          <w:sz w:val="24"/>
          <w:szCs w:val="24"/>
        </w:rPr>
        <w:t>ë</w:t>
      </w:r>
      <w:r w:rsidRPr="002A5D01">
        <w:rPr>
          <w:rFonts w:cstheme="minorHAnsi"/>
          <w:color w:val="000000"/>
          <w:sz w:val="24"/>
          <w:szCs w:val="24"/>
        </w:rPr>
        <w:t xml:space="preserve"> jepet n</w:t>
      </w:r>
      <w:r>
        <w:rPr>
          <w:rFonts w:cstheme="minorHAnsi"/>
          <w:color w:val="000000"/>
          <w:sz w:val="24"/>
          <w:szCs w:val="24"/>
        </w:rPr>
        <w:t>ë</w:t>
      </w:r>
      <w:r w:rsidRPr="002A5D01">
        <w:rPr>
          <w:rFonts w:cstheme="minorHAnsi"/>
          <w:color w:val="000000"/>
          <w:sz w:val="24"/>
          <w:szCs w:val="24"/>
        </w:rPr>
        <w:t xml:space="preserve"> form</w:t>
      </w:r>
      <w:r>
        <w:rPr>
          <w:rFonts w:cstheme="minorHAnsi"/>
          <w:color w:val="000000"/>
          <w:sz w:val="24"/>
          <w:szCs w:val="24"/>
        </w:rPr>
        <w:t>ë</w:t>
      </w:r>
      <w:r w:rsidRPr="002A5D01">
        <w:rPr>
          <w:rFonts w:cstheme="minorHAnsi"/>
          <w:color w:val="000000"/>
          <w:sz w:val="24"/>
          <w:szCs w:val="24"/>
        </w:rPr>
        <w:t xml:space="preserve"> skematike konsensusi i ekspert</w:t>
      </w:r>
      <w:r>
        <w:rPr>
          <w:rFonts w:cstheme="minorHAnsi"/>
          <w:color w:val="000000"/>
          <w:sz w:val="24"/>
          <w:szCs w:val="24"/>
        </w:rPr>
        <w:t>ë</w:t>
      </w:r>
      <w:r w:rsidRPr="002A5D01">
        <w:rPr>
          <w:rFonts w:cstheme="minorHAnsi"/>
          <w:color w:val="000000"/>
          <w:sz w:val="24"/>
          <w:szCs w:val="24"/>
        </w:rPr>
        <w:t>ve mbi koh</w:t>
      </w:r>
      <w:r>
        <w:rPr>
          <w:rFonts w:cstheme="minorHAnsi"/>
          <w:color w:val="000000"/>
          <w:sz w:val="24"/>
          <w:szCs w:val="24"/>
        </w:rPr>
        <w:t>ë</w:t>
      </w:r>
      <w:r w:rsidRPr="002A5D01">
        <w:rPr>
          <w:rFonts w:cstheme="minorHAnsi"/>
          <w:color w:val="000000"/>
          <w:sz w:val="24"/>
          <w:szCs w:val="24"/>
        </w:rPr>
        <w:t>n e fillimit 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anikoagulant</w:t>
      </w:r>
      <w:r>
        <w:rPr>
          <w:rFonts w:cstheme="minorHAnsi"/>
          <w:color w:val="000000"/>
          <w:sz w:val="24"/>
          <w:szCs w:val="24"/>
        </w:rPr>
        <w:t>ë</w:t>
      </w:r>
      <w:r w:rsidRPr="002A5D01">
        <w:rPr>
          <w:rFonts w:cstheme="minorHAnsi"/>
          <w:color w:val="000000"/>
          <w:sz w:val="24"/>
          <w:szCs w:val="24"/>
        </w:rPr>
        <w:t xml:space="preserve"> oral</w:t>
      </w:r>
      <w:r>
        <w:rPr>
          <w:rFonts w:cstheme="minorHAnsi"/>
          <w:color w:val="000000"/>
          <w:sz w:val="24"/>
          <w:szCs w:val="24"/>
        </w:rPr>
        <w:t>ë</w:t>
      </w:r>
      <w:r w:rsidRPr="002A5D01">
        <w:rPr>
          <w:rFonts w:cstheme="minorHAnsi"/>
          <w:color w:val="000000"/>
          <w:sz w:val="24"/>
          <w:szCs w:val="24"/>
        </w:rPr>
        <w:t xml:space="preserve"> pas nj</w:t>
      </w:r>
      <w:r>
        <w:rPr>
          <w:rFonts w:cstheme="minorHAnsi"/>
          <w:color w:val="000000"/>
          <w:sz w:val="24"/>
          <w:szCs w:val="24"/>
        </w:rPr>
        <w:t>ë</w:t>
      </w:r>
      <w:r w:rsidRPr="002A5D01">
        <w:rPr>
          <w:rFonts w:cstheme="minorHAnsi"/>
          <w:color w:val="000000"/>
          <w:sz w:val="24"/>
          <w:szCs w:val="24"/>
        </w:rPr>
        <w:t xml:space="preserve"> insulti ishemik akut.(123)</w:t>
      </w:r>
    </w:p>
    <w:p w14:paraId="4F29D2FF" w14:textId="77777777" w:rsidR="009E1860" w:rsidRDefault="009E1860" w:rsidP="009E1860">
      <w:pPr>
        <w:autoSpaceDE w:val="0"/>
        <w:autoSpaceDN w:val="0"/>
        <w:adjustRightInd w:val="0"/>
        <w:spacing w:after="0" w:line="240" w:lineRule="auto"/>
        <w:rPr>
          <w:rFonts w:cstheme="minorHAnsi"/>
          <w:color w:val="000000"/>
          <w:sz w:val="24"/>
          <w:szCs w:val="24"/>
        </w:rPr>
      </w:pPr>
    </w:p>
    <w:p w14:paraId="12906FE9" w14:textId="77777777" w:rsidR="009E1860" w:rsidRDefault="009E1860" w:rsidP="009E1860">
      <w:pPr>
        <w:autoSpaceDE w:val="0"/>
        <w:autoSpaceDN w:val="0"/>
        <w:adjustRightInd w:val="0"/>
        <w:spacing w:after="0" w:line="240" w:lineRule="auto"/>
        <w:rPr>
          <w:rFonts w:cstheme="minorHAnsi"/>
          <w:color w:val="000000"/>
          <w:sz w:val="24"/>
          <w:szCs w:val="24"/>
        </w:rPr>
      </w:pPr>
    </w:p>
    <w:p w14:paraId="4A21E701"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D71756">
        <w:rPr>
          <w:rFonts w:cstheme="minorHAnsi"/>
          <w:noProof/>
          <w:color w:val="000000"/>
          <w:sz w:val="24"/>
          <w:szCs w:val="24"/>
        </w:rPr>
        <w:drawing>
          <wp:inline distT="0" distB="0" distL="0" distR="0" wp14:anchorId="52BBFFD0" wp14:editId="1151C04F">
            <wp:extent cx="5943600" cy="36150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5055"/>
                    </a:xfrm>
                    <a:prstGeom prst="rect">
                      <a:avLst/>
                    </a:prstGeom>
                  </pic:spPr>
                </pic:pic>
              </a:graphicData>
            </a:graphic>
          </wp:inline>
        </w:drawing>
      </w:r>
    </w:p>
    <w:p w14:paraId="11A7F56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7DE9F9" w14:textId="77777777" w:rsidR="009E1860" w:rsidRPr="004C6A2C" w:rsidRDefault="009E1860" w:rsidP="009E1860">
      <w:pPr>
        <w:autoSpaceDE w:val="0"/>
        <w:autoSpaceDN w:val="0"/>
        <w:adjustRightInd w:val="0"/>
        <w:spacing w:after="0" w:line="240" w:lineRule="auto"/>
        <w:rPr>
          <w:rFonts w:cstheme="minorHAnsi"/>
          <w:b/>
          <w:color w:val="000000"/>
          <w:sz w:val="24"/>
          <w:szCs w:val="24"/>
        </w:rPr>
      </w:pPr>
      <w:r w:rsidRPr="004C6A2C">
        <w:rPr>
          <w:rFonts w:cstheme="minorHAnsi"/>
          <w:b/>
          <w:color w:val="000000"/>
          <w:sz w:val="24"/>
          <w:szCs w:val="24"/>
        </w:rPr>
        <w:t>3.6.2 Infarkti</w:t>
      </w:r>
      <w:r>
        <w:rPr>
          <w:rFonts w:cstheme="minorHAnsi"/>
          <w:b/>
          <w:color w:val="000000"/>
          <w:sz w:val="24"/>
          <w:szCs w:val="24"/>
        </w:rPr>
        <w:t xml:space="preserve">/insulti </w:t>
      </w:r>
      <w:r w:rsidRPr="004C6A2C">
        <w:rPr>
          <w:rFonts w:cstheme="minorHAnsi"/>
          <w:b/>
          <w:color w:val="000000"/>
          <w:sz w:val="24"/>
          <w:szCs w:val="24"/>
        </w:rPr>
        <w:t>cerebral embolik kriptogjenik (nga shkaqe të panjohura)</w:t>
      </w:r>
    </w:p>
    <w:p w14:paraId="4085DDD5"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6A9C0F44" w14:textId="77777777" w:rsidR="009E1860" w:rsidRPr="007F764F" w:rsidRDefault="009E1860" w:rsidP="009E1860">
      <w:pPr>
        <w:autoSpaceDE w:val="0"/>
        <w:autoSpaceDN w:val="0"/>
        <w:adjustRightInd w:val="0"/>
        <w:spacing w:after="0" w:line="240" w:lineRule="auto"/>
        <w:rPr>
          <w:rFonts w:cstheme="minorHAnsi"/>
          <w:color w:val="000000"/>
          <w:sz w:val="24"/>
          <w:szCs w:val="24"/>
        </w:rPr>
      </w:pPr>
      <w:r w:rsidRPr="007F764F">
        <w:rPr>
          <w:rFonts w:cstheme="minorHAnsi"/>
          <w:color w:val="000000"/>
          <w:sz w:val="24"/>
          <w:szCs w:val="24"/>
        </w:rPr>
        <w:t>Dëshmi të disponueshme deri tani, duke përfshirë dy studime të rastësishme të</w:t>
      </w:r>
      <w:r>
        <w:rPr>
          <w:rFonts w:cstheme="minorHAnsi"/>
          <w:color w:val="000000"/>
          <w:sz w:val="24"/>
          <w:szCs w:val="24"/>
        </w:rPr>
        <w:t xml:space="preserve"> botuar rishtaz (203,204) </w:t>
      </w:r>
      <w:r w:rsidRPr="007F764F">
        <w:rPr>
          <w:rFonts w:cstheme="minorHAnsi"/>
          <w:color w:val="000000"/>
          <w:sz w:val="24"/>
          <w:szCs w:val="24"/>
        </w:rPr>
        <w:t>nuk mbështesin përdorimin rutinë të antikoagulantëve oral në pacientët me goditj</w:t>
      </w:r>
      <w:r>
        <w:rPr>
          <w:rFonts w:cstheme="minorHAnsi"/>
          <w:color w:val="000000"/>
          <w:sz w:val="24"/>
          <w:szCs w:val="24"/>
        </w:rPr>
        <w:t>e</w:t>
      </w:r>
      <w:r w:rsidRPr="007F764F">
        <w:rPr>
          <w:rFonts w:cstheme="minorHAnsi"/>
          <w:color w:val="000000"/>
          <w:sz w:val="24"/>
          <w:szCs w:val="24"/>
        </w:rPr>
        <w:t xml:space="preserve"> </w:t>
      </w:r>
      <w:r>
        <w:rPr>
          <w:rFonts w:cstheme="minorHAnsi"/>
          <w:color w:val="000000"/>
          <w:sz w:val="24"/>
          <w:szCs w:val="24"/>
        </w:rPr>
        <w:t>i</w:t>
      </w:r>
      <w:r w:rsidRPr="007F764F">
        <w:rPr>
          <w:rFonts w:cstheme="minorHAnsi"/>
          <w:color w:val="000000"/>
          <w:sz w:val="24"/>
          <w:szCs w:val="24"/>
        </w:rPr>
        <w:t xml:space="preserve">shemike </w:t>
      </w:r>
      <w:r>
        <w:rPr>
          <w:rFonts w:cstheme="minorHAnsi"/>
          <w:color w:val="000000"/>
          <w:sz w:val="24"/>
          <w:szCs w:val="24"/>
        </w:rPr>
        <w:t xml:space="preserve">akute </w:t>
      </w:r>
      <w:r w:rsidRPr="007F764F">
        <w:rPr>
          <w:rFonts w:cstheme="minorHAnsi"/>
          <w:color w:val="000000"/>
          <w:sz w:val="24"/>
          <w:szCs w:val="24"/>
        </w:rPr>
        <w:t xml:space="preserve">me etiologji të panjohur (infarkt kriptogjenik) pa </w:t>
      </w:r>
      <w:r>
        <w:rPr>
          <w:rFonts w:cstheme="minorHAnsi"/>
          <w:color w:val="000000"/>
          <w:sz w:val="24"/>
          <w:szCs w:val="24"/>
        </w:rPr>
        <w:t>fibrilacion atrial</w:t>
      </w:r>
      <w:r w:rsidRPr="007F764F">
        <w:rPr>
          <w:rFonts w:cstheme="minorHAnsi"/>
          <w:color w:val="000000"/>
          <w:sz w:val="24"/>
          <w:szCs w:val="24"/>
        </w:rPr>
        <w:t xml:space="preserve"> të dokumantuar.</w:t>
      </w:r>
      <w:r>
        <w:rPr>
          <w:rFonts w:cstheme="minorHAnsi"/>
          <w:color w:val="000000"/>
          <w:sz w:val="24"/>
          <w:szCs w:val="24"/>
        </w:rPr>
        <w:t xml:space="preserve"> (</w:t>
      </w:r>
      <w:r w:rsidRPr="007F764F">
        <w:rPr>
          <w:rFonts w:cstheme="minorHAnsi"/>
          <w:color w:val="000000"/>
          <w:sz w:val="24"/>
          <w:szCs w:val="24"/>
        </w:rPr>
        <w:t>205)</w:t>
      </w:r>
    </w:p>
    <w:p w14:paraId="00028A36"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C7CD94F" w14:textId="77777777" w:rsidR="009E1860" w:rsidRDefault="009E1860" w:rsidP="009E1860">
      <w:pPr>
        <w:autoSpaceDE w:val="0"/>
        <w:autoSpaceDN w:val="0"/>
        <w:adjustRightInd w:val="0"/>
        <w:spacing w:after="0" w:line="240" w:lineRule="auto"/>
        <w:rPr>
          <w:rFonts w:cstheme="minorHAnsi"/>
          <w:color w:val="000000"/>
          <w:sz w:val="24"/>
          <w:szCs w:val="24"/>
        </w:rPr>
      </w:pPr>
    </w:p>
    <w:p w14:paraId="5CA9A588" w14:textId="77777777" w:rsidR="009E1860" w:rsidRPr="007F764F" w:rsidRDefault="009E1860" w:rsidP="009E1860">
      <w:pPr>
        <w:autoSpaceDE w:val="0"/>
        <w:autoSpaceDN w:val="0"/>
        <w:adjustRightInd w:val="0"/>
        <w:spacing w:after="0" w:line="240" w:lineRule="auto"/>
        <w:rPr>
          <w:rFonts w:cstheme="minorHAnsi"/>
          <w:color w:val="000000"/>
          <w:sz w:val="24"/>
          <w:szCs w:val="24"/>
        </w:rPr>
      </w:pPr>
    </w:p>
    <w:p w14:paraId="73404784" w14:textId="77777777" w:rsidR="009E1860" w:rsidRPr="004C6A2C" w:rsidRDefault="009E1860" w:rsidP="009E1860">
      <w:pPr>
        <w:pStyle w:val="KeinLeerraum"/>
        <w:rPr>
          <w:rFonts w:cstheme="minorHAnsi"/>
          <w:b/>
          <w:sz w:val="24"/>
          <w:szCs w:val="24"/>
        </w:rPr>
      </w:pPr>
      <w:r w:rsidRPr="004C6A2C">
        <w:rPr>
          <w:rFonts w:cstheme="minorHAnsi"/>
          <w:b/>
          <w:sz w:val="24"/>
          <w:szCs w:val="24"/>
        </w:rPr>
        <w:t>3.6.3 Menaxhimi i pacientëve me fibrilacion atrial pas hemorragjisë intrakraniale</w:t>
      </w:r>
    </w:p>
    <w:p w14:paraId="04048F7D" w14:textId="77777777" w:rsidR="009E1860" w:rsidRPr="004C6A2C" w:rsidRDefault="009E1860" w:rsidP="009E1860">
      <w:pPr>
        <w:pStyle w:val="KeinLeerraum"/>
        <w:rPr>
          <w:rFonts w:cstheme="minorHAnsi"/>
          <w:b/>
          <w:sz w:val="24"/>
          <w:szCs w:val="24"/>
        </w:rPr>
      </w:pPr>
    </w:p>
    <w:p w14:paraId="3E015DB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Meqenëse hemorragjia intrakraniale është ndërlikimi më i frikshëm, shpesh vdekjeprurës i terapisë antikoagulante dhe antiagregante, ka një ngurrim të konsiderueshëm për të (ri)filluar antikoagulantët oralë</w:t>
      </w:r>
      <w:r>
        <w:rPr>
          <w:rFonts w:cstheme="minorHAnsi"/>
          <w:color w:val="000000"/>
          <w:sz w:val="24"/>
          <w:szCs w:val="24"/>
        </w:rPr>
        <w:t xml:space="preserve"> në pacientët me fibrilacion atrial </w:t>
      </w:r>
      <w:r w:rsidRPr="007F764F">
        <w:rPr>
          <w:rFonts w:cstheme="minorHAnsi"/>
          <w:color w:val="000000"/>
          <w:sz w:val="24"/>
          <w:szCs w:val="24"/>
        </w:rPr>
        <w:t>që i mbijetojnë një hemorragjie intrakraniale, pavarësisht nga rreziku i lartë për goditje ishemike.</w:t>
      </w:r>
      <w:r>
        <w:rPr>
          <w:rFonts w:cstheme="minorHAnsi"/>
          <w:color w:val="000000"/>
          <w:sz w:val="24"/>
          <w:szCs w:val="24"/>
        </w:rPr>
        <w:t xml:space="preserve"> </w:t>
      </w:r>
      <w:r w:rsidRPr="007F764F">
        <w:rPr>
          <w:rFonts w:cstheme="minorHAnsi"/>
          <w:color w:val="000000"/>
          <w:sz w:val="24"/>
          <w:szCs w:val="24"/>
        </w:rPr>
        <w:t>(1)</w:t>
      </w:r>
    </w:p>
    <w:p w14:paraId="55741A61"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 xml:space="preserve">Pacientët me një histori të kohëve të fundit për hemorragji intrakraniale, u përjashtuan nga studimet e randomizuara fazë e tretë të NOAC-ëve në këtë fushë, por të dhënat e disponueshme vëzhguese sugjerojnë se shumë pacientë me </w:t>
      </w:r>
      <w:r>
        <w:rPr>
          <w:rFonts w:cstheme="minorHAnsi"/>
          <w:color w:val="000000"/>
          <w:sz w:val="24"/>
          <w:szCs w:val="24"/>
        </w:rPr>
        <w:t>fibrilacion atrial</w:t>
      </w:r>
      <w:r w:rsidRPr="007F764F">
        <w:rPr>
          <w:rFonts w:cstheme="minorHAnsi"/>
          <w:color w:val="000000"/>
          <w:sz w:val="24"/>
          <w:szCs w:val="24"/>
        </w:rPr>
        <w:t xml:space="preserve"> do të përfitonin nga (ri)fillimi i terapisë me antikoagulantë në varësi të shkakut(</w:t>
      </w:r>
      <w:r>
        <w:rPr>
          <w:rFonts w:cstheme="minorHAnsi"/>
          <w:color w:val="000000"/>
          <w:sz w:val="24"/>
          <w:szCs w:val="24"/>
        </w:rPr>
        <w:t>qe</w:t>
      </w:r>
      <w:r w:rsidRPr="007F764F">
        <w:rPr>
          <w:rFonts w:cstheme="minorHAnsi"/>
          <w:color w:val="000000"/>
          <w:sz w:val="24"/>
          <w:szCs w:val="24"/>
        </w:rPr>
        <w:t>ve) të hemorragjisë intrakraniale dhe gjetjeve në tomografinë kompjuterike dhe rezonancën magnetike të trurit.</w:t>
      </w:r>
      <w:r>
        <w:rPr>
          <w:rFonts w:cstheme="minorHAnsi"/>
          <w:color w:val="000000"/>
          <w:sz w:val="24"/>
          <w:szCs w:val="24"/>
        </w:rPr>
        <w:t xml:space="preserve"> </w:t>
      </w:r>
      <w:r w:rsidRPr="007F764F">
        <w:rPr>
          <w:rFonts w:cstheme="minorHAnsi"/>
          <w:color w:val="000000"/>
          <w:sz w:val="24"/>
          <w:szCs w:val="24"/>
        </w:rPr>
        <w:t>(1)</w:t>
      </w:r>
    </w:p>
    <w:p w14:paraId="6224D53A" w14:textId="77777777" w:rsidR="009E1860" w:rsidRPr="007F764F" w:rsidRDefault="009E1860" w:rsidP="009E1860">
      <w:pPr>
        <w:pStyle w:val="KeinLeerraum"/>
        <w:rPr>
          <w:rFonts w:cstheme="minorHAnsi"/>
          <w:color w:val="000000"/>
          <w:sz w:val="24"/>
          <w:szCs w:val="24"/>
        </w:rPr>
      </w:pPr>
    </w:p>
    <w:p w14:paraId="3A14F1AE"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Vendimi i trajtimit p</w:t>
      </w:r>
      <w:r>
        <w:rPr>
          <w:rFonts w:cstheme="minorHAnsi"/>
          <w:color w:val="000000"/>
          <w:sz w:val="24"/>
          <w:szCs w:val="24"/>
        </w:rPr>
        <w:t>ër të (ri)filluar trajtim me antikoagulantë</w:t>
      </w:r>
      <w:r w:rsidRPr="007F764F">
        <w:rPr>
          <w:rFonts w:cstheme="minorHAnsi"/>
          <w:color w:val="000000"/>
          <w:sz w:val="24"/>
          <w:szCs w:val="24"/>
        </w:rPr>
        <w:t xml:space="preserve"> në pacientët me </w:t>
      </w:r>
      <w:r>
        <w:rPr>
          <w:rFonts w:cstheme="minorHAnsi"/>
          <w:color w:val="000000"/>
          <w:sz w:val="24"/>
          <w:szCs w:val="24"/>
        </w:rPr>
        <w:t>fibrilacion atrial</w:t>
      </w:r>
      <w:r w:rsidRPr="007F764F">
        <w:rPr>
          <w:rFonts w:cstheme="minorHAnsi"/>
          <w:color w:val="000000"/>
          <w:sz w:val="24"/>
          <w:szCs w:val="24"/>
        </w:rPr>
        <w:t xml:space="preserve"> pas një hemorragjie intrakraniale kërkon kontributin e ekipit multidisiplinar nga kardiologët, specialistët e infarktit cerebral, neurokirurgët, pacientët dhe familja</w:t>
      </w:r>
      <w:r>
        <w:rPr>
          <w:rFonts w:cstheme="minorHAnsi"/>
          <w:color w:val="000000"/>
          <w:sz w:val="24"/>
          <w:szCs w:val="24"/>
        </w:rPr>
        <w:t>rët</w:t>
      </w:r>
      <w:r w:rsidRPr="007F764F">
        <w:rPr>
          <w:rFonts w:cstheme="minorHAnsi"/>
          <w:color w:val="000000"/>
          <w:sz w:val="24"/>
          <w:szCs w:val="24"/>
        </w:rPr>
        <w:t>/kujdestarët e tyre. Pas hemorragjisë intrakraniale akute spontane (e cila përfshin hemorragjinë epidurale, subdurale, subaraknoidale, ose intracerebrale), antikoagulantët oralë mund të merren në konsideratë pas vlerësimit të kujdesshëm të rreziqeve dhe përfitimeve, dhe imazheria cerebrale mund të ndihmojë.</w:t>
      </w:r>
      <w:r>
        <w:rPr>
          <w:rFonts w:cstheme="minorHAnsi"/>
          <w:color w:val="000000"/>
          <w:sz w:val="24"/>
          <w:szCs w:val="24"/>
        </w:rPr>
        <w:t xml:space="preserve"> </w:t>
      </w:r>
      <w:r w:rsidRPr="007F764F">
        <w:rPr>
          <w:rFonts w:cstheme="minorHAnsi"/>
          <w:color w:val="000000"/>
          <w:sz w:val="24"/>
          <w:szCs w:val="24"/>
        </w:rPr>
        <w:t>(1,206)</w:t>
      </w:r>
    </w:p>
    <w:p w14:paraId="5088715C" w14:textId="77777777" w:rsidR="009E1860" w:rsidRPr="007F764F" w:rsidRDefault="009E1860" w:rsidP="009E1860">
      <w:pPr>
        <w:pStyle w:val="KeinLeerraum"/>
        <w:rPr>
          <w:rFonts w:cstheme="minorHAnsi"/>
          <w:color w:val="000000"/>
          <w:sz w:val="24"/>
          <w:szCs w:val="24"/>
        </w:rPr>
      </w:pPr>
      <w:r w:rsidRPr="007F764F">
        <w:rPr>
          <w:rFonts w:cstheme="minorHAnsi"/>
          <w:color w:val="000000"/>
          <w:sz w:val="24"/>
          <w:szCs w:val="24"/>
        </w:rPr>
        <w:t xml:space="preserve">Krahasuar me </w:t>
      </w:r>
      <w:r>
        <w:rPr>
          <w:rFonts w:cstheme="minorHAnsi"/>
          <w:color w:val="000000"/>
          <w:sz w:val="24"/>
          <w:szCs w:val="24"/>
        </w:rPr>
        <w:t>antivitaminikët K</w:t>
      </w:r>
      <w:r w:rsidRPr="007F764F">
        <w:rPr>
          <w:rFonts w:cstheme="minorHAnsi"/>
          <w:color w:val="000000"/>
          <w:sz w:val="24"/>
          <w:szCs w:val="24"/>
        </w:rPr>
        <w:t>, përdorimi i NOAC-</w:t>
      </w:r>
      <w:r>
        <w:rPr>
          <w:rFonts w:cstheme="minorHAnsi"/>
          <w:color w:val="000000"/>
          <w:sz w:val="24"/>
          <w:szCs w:val="24"/>
        </w:rPr>
        <w:t>ë</w:t>
      </w:r>
      <w:r w:rsidRPr="007F764F">
        <w:rPr>
          <w:rFonts w:cstheme="minorHAnsi"/>
          <w:color w:val="000000"/>
          <w:sz w:val="24"/>
          <w:szCs w:val="24"/>
        </w:rPr>
        <w:t xml:space="preserve">ve në pacientët pa </w:t>
      </w:r>
      <w:r>
        <w:rPr>
          <w:rFonts w:cstheme="minorHAnsi"/>
          <w:color w:val="000000"/>
          <w:sz w:val="24"/>
          <w:szCs w:val="24"/>
        </w:rPr>
        <w:t xml:space="preserve">hemorragji intrakraniale </w:t>
      </w:r>
      <w:r w:rsidRPr="007F764F">
        <w:rPr>
          <w:rFonts w:cstheme="minorHAnsi"/>
          <w:color w:val="000000"/>
          <w:sz w:val="24"/>
          <w:szCs w:val="24"/>
        </w:rPr>
        <w:t>të mëparshme shoqërohet me një rrez</w:t>
      </w:r>
      <w:r>
        <w:rPr>
          <w:rFonts w:cstheme="minorHAnsi"/>
          <w:color w:val="000000"/>
          <w:sz w:val="24"/>
          <w:szCs w:val="24"/>
        </w:rPr>
        <w:t>ik afërsisht 50% më të ulët të hemorragjisë intrakraniale</w:t>
      </w:r>
      <w:r w:rsidRPr="007F764F">
        <w:rPr>
          <w:rFonts w:cstheme="minorHAnsi"/>
          <w:color w:val="000000"/>
          <w:sz w:val="24"/>
          <w:szCs w:val="24"/>
        </w:rPr>
        <w:t>,</w:t>
      </w:r>
      <w:r>
        <w:rPr>
          <w:rFonts w:cstheme="minorHAnsi"/>
          <w:color w:val="000000"/>
          <w:sz w:val="24"/>
          <w:szCs w:val="24"/>
        </w:rPr>
        <w:t xml:space="preserve"> </w:t>
      </w:r>
      <w:r w:rsidRPr="007F764F">
        <w:rPr>
          <w:rFonts w:cstheme="minorHAnsi"/>
          <w:color w:val="000000"/>
          <w:sz w:val="24"/>
          <w:szCs w:val="24"/>
        </w:rPr>
        <w:t>(70) ndërsa madhësia dhe dekursi i një hemorragjie intrakraniale për shkak të antikogulantit oral, është i ngjashëm ndërmjet NOAC</w:t>
      </w:r>
      <w:r>
        <w:rPr>
          <w:rFonts w:cstheme="minorHAnsi"/>
          <w:color w:val="000000"/>
          <w:sz w:val="24"/>
          <w:szCs w:val="24"/>
        </w:rPr>
        <w:t xml:space="preserve">-ëve </w:t>
      </w:r>
      <w:r w:rsidRPr="007F764F">
        <w:rPr>
          <w:rFonts w:cstheme="minorHAnsi"/>
          <w:color w:val="000000"/>
          <w:sz w:val="24"/>
          <w:szCs w:val="24"/>
        </w:rPr>
        <w:t xml:space="preserve">dhe </w:t>
      </w:r>
      <w:r>
        <w:rPr>
          <w:rFonts w:cstheme="minorHAnsi"/>
          <w:color w:val="000000"/>
          <w:sz w:val="24"/>
          <w:szCs w:val="24"/>
        </w:rPr>
        <w:t>antivitaminikëve K</w:t>
      </w:r>
      <w:r w:rsidRPr="007F764F">
        <w:rPr>
          <w:rFonts w:cstheme="minorHAnsi"/>
          <w:color w:val="000000"/>
          <w:sz w:val="24"/>
          <w:szCs w:val="24"/>
        </w:rPr>
        <w:t>. Prandaj, NOAC</w:t>
      </w:r>
      <w:r>
        <w:rPr>
          <w:rFonts w:cstheme="minorHAnsi"/>
          <w:color w:val="000000"/>
          <w:sz w:val="24"/>
          <w:szCs w:val="24"/>
        </w:rPr>
        <w:t>-</w:t>
      </w:r>
      <w:r w:rsidRPr="007F764F">
        <w:rPr>
          <w:rFonts w:cstheme="minorHAnsi"/>
          <w:color w:val="000000"/>
          <w:sz w:val="24"/>
          <w:szCs w:val="24"/>
        </w:rPr>
        <w:t xml:space="preserve">ët duhet të preferohen përkundrejt varfarinës në pacientët që i kanë mbijetuar hemorragjisë intrakraniale dhe që nuk kanë kundërindikim ndaj tyre megjithëse nuk ka asnjë studim të randomizuar mbi këtë çështje.(207) </w:t>
      </w:r>
    </w:p>
    <w:p w14:paraId="1D71A566" w14:textId="77777777" w:rsidR="009E1860" w:rsidRPr="002A5D01" w:rsidRDefault="009E1860" w:rsidP="009E1860">
      <w:pPr>
        <w:pStyle w:val="KeinLeerraum"/>
        <w:rPr>
          <w:rFonts w:cstheme="minorHAnsi"/>
          <w:color w:val="000000"/>
          <w:sz w:val="24"/>
          <w:szCs w:val="24"/>
        </w:rPr>
      </w:pPr>
      <w:r w:rsidRPr="007F764F">
        <w:rPr>
          <w:rFonts w:cstheme="minorHAnsi"/>
          <w:color w:val="000000"/>
          <w:sz w:val="24"/>
          <w:szCs w:val="24"/>
        </w:rPr>
        <w:t xml:space="preserve">Koha optimale e antikoagulimit pas hemorragjisë intrakraniale është e panjohur, por duhet të shtyhet përtej fazës akute, ndoshta për të paktën 4 javë; në pacientët me </w:t>
      </w:r>
      <w:r>
        <w:rPr>
          <w:rFonts w:cstheme="minorHAnsi"/>
          <w:color w:val="000000"/>
          <w:sz w:val="24"/>
          <w:szCs w:val="24"/>
        </w:rPr>
        <w:t>fibrilacion atrial</w:t>
      </w:r>
      <w:r w:rsidRPr="007F764F">
        <w:rPr>
          <w:rFonts w:cstheme="minorHAnsi"/>
          <w:color w:val="000000"/>
          <w:sz w:val="24"/>
          <w:szCs w:val="24"/>
        </w:rPr>
        <w:t xml:space="preserve"> me rrezik shumë të lartë për përsëritje të hemorragjisë intrakraniale, mund të merret parasysh mbyllja e apendiksit të atriumit të majtë. Studimet e vazhdueshme klinike të randomizuara të NOAC-</w:t>
      </w:r>
      <w:r>
        <w:rPr>
          <w:rFonts w:cstheme="minorHAnsi"/>
          <w:color w:val="000000"/>
          <w:sz w:val="24"/>
          <w:szCs w:val="24"/>
        </w:rPr>
        <w:t>ë</w:t>
      </w:r>
      <w:r w:rsidRPr="007F764F">
        <w:rPr>
          <w:rFonts w:cstheme="minorHAnsi"/>
          <w:color w:val="000000"/>
          <w:sz w:val="24"/>
          <w:szCs w:val="24"/>
        </w:rPr>
        <w:t>ve dhe mbyllja e ap</w:t>
      </w:r>
      <w:r>
        <w:rPr>
          <w:rFonts w:cstheme="minorHAnsi"/>
          <w:color w:val="000000"/>
          <w:sz w:val="24"/>
          <w:szCs w:val="24"/>
        </w:rPr>
        <w:t>e</w:t>
      </w:r>
      <w:r w:rsidRPr="007F764F">
        <w:rPr>
          <w:rFonts w:cstheme="minorHAnsi"/>
          <w:color w:val="000000"/>
          <w:sz w:val="24"/>
          <w:szCs w:val="24"/>
        </w:rPr>
        <w:t>ndiksit të atriumit të majtë mund të informojë vendimmarrjen në të ardhmen.</w:t>
      </w:r>
      <w:r>
        <w:rPr>
          <w:rFonts w:cstheme="minorHAnsi"/>
          <w:color w:val="000000"/>
          <w:sz w:val="24"/>
          <w:szCs w:val="24"/>
        </w:rPr>
        <w:t xml:space="preserve"> </w:t>
      </w:r>
      <w:r w:rsidRPr="007F764F">
        <w:rPr>
          <w:rFonts w:cstheme="minorHAnsi"/>
          <w:color w:val="000000"/>
          <w:sz w:val="24"/>
          <w:szCs w:val="24"/>
        </w:rPr>
        <w:t>(1)</w:t>
      </w:r>
      <w:r>
        <w:rPr>
          <w:rFonts w:cstheme="minorHAnsi"/>
          <w:color w:val="000000"/>
          <w:sz w:val="24"/>
          <w:szCs w:val="24"/>
        </w:rPr>
        <w:t xml:space="preserve"> Më poshtë jepet në formë skematike konsensusi i ekspertëve mbi kohën e fillimit të terapisë me anikoagulantë oralë tek pacientët me fibrilacion atrial  të cilët kanë patur një</w:t>
      </w:r>
      <w:r w:rsidRPr="002A5D01">
        <w:rPr>
          <w:rFonts w:cstheme="minorHAnsi"/>
          <w:color w:val="000000"/>
          <w:sz w:val="24"/>
          <w:szCs w:val="24"/>
        </w:rPr>
        <w:t xml:space="preserve"> hemorragji intrakraniale gjat</w:t>
      </w:r>
      <w:r>
        <w:rPr>
          <w:rFonts w:cstheme="minorHAnsi"/>
          <w:color w:val="000000"/>
          <w:sz w:val="24"/>
          <w:szCs w:val="24"/>
        </w:rPr>
        <w:t>ë</w:t>
      </w:r>
      <w:r w:rsidRPr="002A5D01">
        <w:rPr>
          <w:rFonts w:cstheme="minorHAnsi"/>
          <w:color w:val="000000"/>
          <w:sz w:val="24"/>
          <w:szCs w:val="24"/>
        </w:rPr>
        <w:t xml:space="preserve"> terapis</w:t>
      </w:r>
      <w:r>
        <w:rPr>
          <w:rFonts w:cstheme="minorHAnsi"/>
          <w:color w:val="000000"/>
          <w:sz w:val="24"/>
          <w:szCs w:val="24"/>
        </w:rPr>
        <w:t>ë</w:t>
      </w:r>
      <w:r w:rsidRPr="002A5D01">
        <w:rPr>
          <w:rFonts w:cstheme="minorHAnsi"/>
          <w:color w:val="000000"/>
          <w:sz w:val="24"/>
          <w:szCs w:val="24"/>
        </w:rPr>
        <w:t xml:space="preserve"> me antikoagulant</w:t>
      </w:r>
      <w:r>
        <w:rPr>
          <w:rFonts w:cstheme="minorHAnsi"/>
          <w:color w:val="000000"/>
          <w:sz w:val="24"/>
          <w:szCs w:val="24"/>
        </w:rPr>
        <w:t xml:space="preserve">ë oralë.(123) </w:t>
      </w:r>
    </w:p>
    <w:p w14:paraId="2BE2FEC4" w14:textId="77777777" w:rsidR="009E1860" w:rsidRDefault="009E1860" w:rsidP="009E1860">
      <w:pPr>
        <w:pStyle w:val="KeinLeerraum"/>
        <w:rPr>
          <w:rFonts w:cstheme="minorHAnsi"/>
          <w:color w:val="000000"/>
          <w:sz w:val="24"/>
          <w:szCs w:val="24"/>
        </w:rPr>
      </w:pPr>
    </w:p>
    <w:p w14:paraId="3E546E55" w14:textId="77777777" w:rsidR="009E1860" w:rsidRPr="007F764F" w:rsidRDefault="009E1860" w:rsidP="009E1860">
      <w:pPr>
        <w:pStyle w:val="KeinLeerraum"/>
        <w:rPr>
          <w:rFonts w:cstheme="minorHAnsi"/>
          <w:color w:val="000000"/>
          <w:sz w:val="24"/>
          <w:szCs w:val="24"/>
        </w:rPr>
      </w:pPr>
    </w:p>
    <w:p w14:paraId="48199782" w14:textId="77777777" w:rsidR="009E1860" w:rsidRPr="007F764F" w:rsidRDefault="009E1860" w:rsidP="009E1860">
      <w:pPr>
        <w:rPr>
          <w:rFonts w:cstheme="minorHAnsi"/>
          <w:sz w:val="24"/>
          <w:szCs w:val="24"/>
        </w:rPr>
      </w:pPr>
      <w:r>
        <w:rPr>
          <w:noProof/>
        </w:rPr>
        <w:drawing>
          <wp:inline distT="0" distB="0" distL="0" distR="0" wp14:anchorId="084B3FD7" wp14:editId="49DCC3DE">
            <wp:extent cx="5943600" cy="3439160"/>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439160"/>
                    </a:xfrm>
                    <a:prstGeom prst="rect">
                      <a:avLst/>
                    </a:prstGeom>
                  </pic:spPr>
                </pic:pic>
              </a:graphicData>
            </a:graphic>
          </wp:inline>
        </w:drawing>
      </w:r>
    </w:p>
    <w:p w14:paraId="18D62DE5" w14:textId="77777777" w:rsidR="009E1860" w:rsidRDefault="009E1860" w:rsidP="009E1860">
      <w:pPr>
        <w:rPr>
          <w:rFonts w:cstheme="minorHAnsi"/>
          <w:b/>
          <w:color w:val="000000"/>
          <w:sz w:val="24"/>
          <w:szCs w:val="24"/>
        </w:rPr>
      </w:pPr>
    </w:p>
    <w:p w14:paraId="6BAB7199" w14:textId="77777777" w:rsidR="009E1860" w:rsidRDefault="009E1860" w:rsidP="009E1860">
      <w:pPr>
        <w:rPr>
          <w:rFonts w:cstheme="minorHAnsi"/>
          <w:b/>
          <w:color w:val="000000"/>
          <w:sz w:val="24"/>
          <w:szCs w:val="24"/>
        </w:rPr>
      </w:pPr>
    </w:p>
    <w:p w14:paraId="2B31D865" w14:textId="77777777" w:rsidR="009E1860" w:rsidRDefault="009E1860" w:rsidP="009E1860">
      <w:pPr>
        <w:rPr>
          <w:rFonts w:cstheme="minorHAnsi"/>
          <w:b/>
          <w:color w:val="000000"/>
          <w:sz w:val="24"/>
          <w:szCs w:val="24"/>
        </w:rPr>
      </w:pPr>
      <w:r w:rsidRPr="00306FC0">
        <w:rPr>
          <w:rFonts w:cstheme="minorHAnsi"/>
          <w:b/>
          <w:color w:val="000000"/>
          <w:sz w:val="24"/>
          <w:szCs w:val="24"/>
        </w:rPr>
        <w:t>3.6.4 Evidencat klinike</w:t>
      </w:r>
    </w:p>
    <w:p w14:paraId="32475E0E" w14:textId="77777777" w:rsidR="009E1860" w:rsidRPr="00F41C2F" w:rsidRDefault="009E1860" w:rsidP="009E1860">
      <w:pPr>
        <w:rPr>
          <w:rFonts w:cstheme="minorHAnsi"/>
          <w:color w:val="000000"/>
          <w:sz w:val="24"/>
          <w:szCs w:val="24"/>
        </w:rPr>
      </w:pPr>
      <w:r w:rsidRPr="003B3AB1">
        <w:rPr>
          <w:rFonts w:cstheme="minorHAnsi"/>
          <w:color w:val="000000"/>
          <w:sz w:val="24"/>
          <w:szCs w:val="24"/>
        </w:rPr>
        <w:t>Nj</w:t>
      </w:r>
      <w:r>
        <w:rPr>
          <w:rFonts w:cstheme="minorHAnsi"/>
          <w:color w:val="000000"/>
          <w:sz w:val="24"/>
          <w:szCs w:val="24"/>
        </w:rPr>
        <w:t>ë</w:t>
      </w:r>
      <w:r w:rsidRPr="003B3AB1">
        <w:rPr>
          <w:rFonts w:cstheme="minorHAnsi"/>
          <w:color w:val="000000"/>
          <w:sz w:val="24"/>
          <w:szCs w:val="24"/>
        </w:rPr>
        <w:t xml:space="preserve"> meta-analiz</w:t>
      </w:r>
      <w:r>
        <w:rPr>
          <w:rFonts w:cstheme="minorHAnsi"/>
          <w:color w:val="000000"/>
          <w:sz w:val="24"/>
          <w:szCs w:val="24"/>
        </w:rPr>
        <w:t>ë</w:t>
      </w:r>
      <w:r w:rsidRPr="003B3AB1">
        <w:rPr>
          <w:rFonts w:cstheme="minorHAnsi"/>
          <w:color w:val="000000"/>
          <w:sz w:val="24"/>
          <w:szCs w:val="24"/>
        </w:rPr>
        <w:t xml:space="preserve"> e rezultateve t</w:t>
      </w:r>
      <w:r>
        <w:rPr>
          <w:rFonts w:cstheme="minorHAnsi"/>
          <w:color w:val="000000"/>
          <w:sz w:val="24"/>
          <w:szCs w:val="24"/>
        </w:rPr>
        <w:t>ë</w:t>
      </w:r>
      <w:r w:rsidRPr="003B3AB1">
        <w:rPr>
          <w:rFonts w:cstheme="minorHAnsi"/>
          <w:color w:val="000000"/>
          <w:sz w:val="24"/>
          <w:szCs w:val="24"/>
        </w:rPr>
        <w:t xml:space="preserve"> kat</w:t>
      </w:r>
      <w:r>
        <w:rPr>
          <w:rFonts w:cstheme="minorHAnsi"/>
          <w:color w:val="000000"/>
          <w:sz w:val="24"/>
          <w:szCs w:val="24"/>
        </w:rPr>
        <w:t>ë</w:t>
      </w:r>
      <w:r w:rsidRPr="003B3AB1">
        <w:rPr>
          <w:rFonts w:cstheme="minorHAnsi"/>
          <w:color w:val="000000"/>
          <w:sz w:val="24"/>
          <w:szCs w:val="24"/>
        </w:rPr>
        <w:t>r studimeve t</w:t>
      </w:r>
      <w:r>
        <w:rPr>
          <w:rFonts w:cstheme="minorHAnsi"/>
          <w:color w:val="000000"/>
          <w:sz w:val="24"/>
          <w:szCs w:val="24"/>
        </w:rPr>
        <w:t>ë</w:t>
      </w:r>
      <w:r w:rsidRPr="003B3AB1">
        <w:rPr>
          <w:rFonts w:cstheme="minorHAnsi"/>
          <w:color w:val="000000"/>
          <w:sz w:val="24"/>
          <w:szCs w:val="24"/>
        </w:rPr>
        <w:t xml:space="preserve"> randomizuara faz</w:t>
      </w:r>
      <w:r>
        <w:rPr>
          <w:rFonts w:cstheme="minorHAnsi"/>
          <w:color w:val="000000"/>
          <w:sz w:val="24"/>
          <w:szCs w:val="24"/>
        </w:rPr>
        <w:t>ë</w:t>
      </w:r>
      <w:r w:rsidRPr="003B3AB1">
        <w:rPr>
          <w:rFonts w:cstheme="minorHAnsi"/>
          <w:color w:val="000000"/>
          <w:sz w:val="24"/>
          <w:szCs w:val="24"/>
        </w:rPr>
        <w:t xml:space="preserve"> III t</w:t>
      </w:r>
      <w:r>
        <w:rPr>
          <w:rFonts w:cstheme="minorHAnsi"/>
          <w:color w:val="000000"/>
          <w:sz w:val="24"/>
          <w:szCs w:val="24"/>
        </w:rPr>
        <w:t>ë</w:t>
      </w:r>
      <w:r w:rsidRPr="003B3AB1">
        <w:rPr>
          <w:rFonts w:cstheme="minorHAnsi"/>
          <w:color w:val="000000"/>
          <w:sz w:val="24"/>
          <w:szCs w:val="24"/>
        </w:rPr>
        <w:t xml:space="preserve"> NOAC-</w:t>
      </w:r>
      <w:r>
        <w:rPr>
          <w:rFonts w:cstheme="minorHAnsi"/>
          <w:color w:val="000000"/>
          <w:sz w:val="24"/>
          <w:szCs w:val="24"/>
        </w:rPr>
        <w:t>ë</w:t>
      </w:r>
      <w:r w:rsidRPr="003B3AB1">
        <w:rPr>
          <w:rFonts w:cstheme="minorHAnsi"/>
          <w:color w:val="000000"/>
          <w:sz w:val="24"/>
          <w:szCs w:val="24"/>
        </w:rPr>
        <w:t>ve</w:t>
      </w:r>
      <w:r>
        <w:rPr>
          <w:rFonts w:cstheme="minorHAnsi"/>
          <w:color w:val="000000"/>
          <w:sz w:val="24"/>
          <w:szCs w:val="24"/>
        </w:rPr>
        <w:t xml:space="preserve"> (99-102)</w:t>
      </w:r>
      <w:r w:rsidRPr="003B3AB1">
        <w:rPr>
          <w:rFonts w:cstheme="minorHAnsi"/>
          <w:color w:val="000000"/>
          <w:sz w:val="24"/>
          <w:szCs w:val="24"/>
        </w:rPr>
        <w:t xml:space="preserve"> publikuar nga Ruff dhe koleg</w:t>
      </w:r>
      <w:r>
        <w:rPr>
          <w:rFonts w:cstheme="minorHAnsi"/>
          <w:color w:val="000000"/>
          <w:sz w:val="24"/>
          <w:szCs w:val="24"/>
        </w:rPr>
        <w:t>ë</w:t>
      </w:r>
      <w:r w:rsidRPr="003B3AB1">
        <w:rPr>
          <w:rFonts w:cstheme="minorHAnsi"/>
          <w:color w:val="000000"/>
          <w:sz w:val="24"/>
          <w:szCs w:val="24"/>
        </w:rPr>
        <w:t>t n</w:t>
      </w:r>
      <w:r>
        <w:rPr>
          <w:rFonts w:cstheme="minorHAnsi"/>
          <w:color w:val="000000"/>
          <w:sz w:val="24"/>
          <w:szCs w:val="24"/>
        </w:rPr>
        <w:t>ë</w:t>
      </w:r>
      <w:r w:rsidRPr="003B3AB1">
        <w:rPr>
          <w:rFonts w:cstheme="minorHAnsi"/>
          <w:color w:val="000000"/>
          <w:sz w:val="24"/>
          <w:szCs w:val="24"/>
        </w:rPr>
        <w:t xml:space="preserve"> vitin 2014, tregoi se terapia me NOAC zvogëlon ndjeshëm rrezikun e insultit cerebral, duke ruajtur nje siguri te mir</w:t>
      </w:r>
      <w:r>
        <w:rPr>
          <w:rFonts w:cstheme="minorHAnsi"/>
          <w:color w:val="000000"/>
          <w:sz w:val="24"/>
          <w:szCs w:val="24"/>
        </w:rPr>
        <w:t>ë</w:t>
      </w:r>
      <w:r w:rsidRPr="003B3AB1">
        <w:rPr>
          <w:rFonts w:cstheme="minorHAnsi"/>
          <w:color w:val="000000"/>
          <w:sz w:val="24"/>
          <w:szCs w:val="24"/>
        </w:rPr>
        <w:t>.(70)</w:t>
      </w:r>
    </w:p>
    <w:p w14:paraId="76EFFDDF" w14:textId="77777777" w:rsidR="009E1860" w:rsidRDefault="009E1860" w:rsidP="009E1860">
      <w:pPr>
        <w:rPr>
          <w:rFonts w:cstheme="minorHAnsi"/>
          <w:b/>
          <w:color w:val="000000"/>
          <w:sz w:val="24"/>
          <w:szCs w:val="24"/>
        </w:rPr>
      </w:pPr>
      <w:r w:rsidRPr="003B3AB1">
        <w:rPr>
          <w:rFonts w:cstheme="minorHAnsi"/>
          <w:b/>
          <w:noProof/>
          <w:color w:val="000000"/>
          <w:sz w:val="24"/>
          <w:szCs w:val="24"/>
        </w:rPr>
        <w:drawing>
          <wp:inline distT="0" distB="0" distL="0" distR="0" wp14:anchorId="3552EE4C" wp14:editId="498C9A7F">
            <wp:extent cx="5943600" cy="3324860"/>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324860"/>
                    </a:xfrm>
                    <a:prstGeom prst="rect">
                      <a:avLst/>
                    </a:prstGeom>
                  </pic:spPr>
                </pic:pic>
              </a:graphicData>
            </a:graphic>
          </wp:inline>
        </w:drawing>
      </w:r>
    </w:p>
    <w:p w14:paraId="6FEB5C74" w14:textId="77777777" w:rsidR="009E1860" w:rsidRDefault="009E1860" w:rsidP="009E1860">
      <w:pPr>
        <w:rPr>
          <w:rFonts w:cstheme="minorHAnsi"/>
          <w:b/>
          <w:color w:val="000000"/>
          <w:sz w:val="24"/>
          <w:szCs w:val="24"/>
        </w:rPr>
      </w:pPr>
    </w:p>
    <w:p w14:paraId="3346C581" w14:textId="77777777" w:rsidR="009E1860" w:rsidRDefault="009E1860" w:rsidP="009E1860">
      <w:pPr>
        <w:rPr>
          <w:rFonts w:cstheme="minorHAnsi"/>
          <w:b/>
          <w:color w:val="000000"/>
          <w:sz w:val="24"/>
          <w:szCs w:val="24"/>
        </w:rPr>
      </w:pPr>
      <w:r>
        <w:rPr>
          <w:rFonts w:cstheme="minorHAnsi"/>
          <w:b/>
          <w:color w:val="000000"/>
          <w:sz w:val="24"/>
          <w:szCs w:val="24"/>
        </w:rPr>
        <w:t>Më poshtë jepet përqindja e pacientëve me insult të mëparshëm cerebral ose TIA  (atak ishemik tranzitor) në studimet e randomizuara fazë III të NOAC-ëve, ku vihet re se Rocket AF i rivaroxaban kishte numrin më të madh të këtyre pacientëve, 52%.(99-102)</w:t>
      </w:r>
    </w:p>
    <w:p w14:paraId="3D13A6FA" w14:textId="77777777" w:rsidR="009E1860" w:rsidRDefault="009E1860" w:rsidP="009E1860">
      <w:pPr>
        <w:rPr>
          <w:rFonts w:cstheme="minorHAnsi"/>
          <w:b/>
          <w:color w:val="000000"/>
          <w:sz w:val="24"/>
          <w:szCs w:val="24"/>
        </w:rPr>
      </w:pPr>
      <w:r>
        <w:rPr>
          <w:noProof/>
        </w:rPr>
        <w:drawing>
          <wp:inline distT="0" distB="0" distL="0" distR="0" wp14:anchorId="320FDF84" wp14:editId="25FE9B94">
            <wp:extent cx="5943600" cy="268351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683510"/>
                    </a:xfrm>
                    <a:prstGeom prst="rect">
                      <a:avLst/>
                    </a:prstGeom>
                  </pic:spPr>
                </pic:pic>
              </a:graphicData>
            </a:graphic>
          </wp:inline>
        </w:drawing>
      </w:r>
    </w:p>
    <w:p w14:paraId="35F998BE" w14:textId="77777777" w:rsidR="009E1860" w:rsidRPr="00306FC0" w:rsidRDefault="009E1860" w:rsidP="009E1860">
      <w:pPr>
        <w:rPr>
          <w:rFonts w:cstheme="minorHAnsi"/>
          <w:b/>
          <w:color w:val="000000"/>
          <w:sz w:val="24"/>
          <w:szCs w:val="24"/>
        </w:rPr>
      </w:pPr>
    </w:p>
    <w:p w14:paraId="43657549"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Rivaroxaban, frenuesi i drejtpërdrejtë oral i faktorit Xa, i dhënë në një dozë prej 20 mg një herë në ditë, ishte jo inferior ndaj dozës së rregulluar të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ës</w:t>
      </w:r>
      <w:r w:rsidRPr="007F764F">
        <w:rPr>
          <w:rFonts w:cstheme="minorHAnsi"/>
          <w:color w:val="000000"/>
          <w:sz w:val="24"/>
          <w:szCs w:val="24"/>
        </w:rPr>
        <w:t xml:space="preserve"> (raporti i normalizuar ndërkombëtar i synuar [INR] 2</w:t>
      </w:r>
      <w:r>
        <w:rPr>
          <w:rFonts w:cstheme="minorHAnsi"/>
          <w:color w:val="000000"/>
          <w:sz w:val="24"/>
          <w:szCs w:val="24"/>
        </w:rPr>
        <w:t xml:space="preserve"> </w:t>
      </w:r>
      <w:r w:rsidRPr="007F764F">
        <w:rPr>
          <w:rFonts w:cstheme="minorHAnsi"/>
          <w:color w:val="000000"/>
          <w:sz w:val="24"/>
          <w:szCs w:val="24"/>
        </w:rPr>
        <w:t xml:space="preserve">–3) në parandalimin e </w:t>
      </w:r>
      <w:r>
        <w:rPr>
          <w:rFonts w:cstheme="minorHAnsi"/>
          <w:color w:val="000000"/>
          <w:sz w:val="24"/>
          <w:szCs w:val="24"/>
        </w:rPr>
        <w:t>insultit</w:t>
      </w:r>
      <w:r w:rsidRPr="007F764F">
        <w:rPr>
          <w:rFonts w:cstheme="minorHAnsi"/>
          <w:color w:val="000000"/>
          <w:sz w:val="24"/>
          <w:szCs w:val="24"/>
        </w:rPr>
        <w:t xml:space="preserve"> cerebrale dhe embolisë sist</w:t>
      </w:r>
      <w:r>
        <w:rPr>
          <w:rFonts w:cstheme="minorHAnsi"/>
          <w:color w:val="000000"/>
          <w:sz w:val="24"/>
          <w:szCs w:val="24"/>
        </w:rPr>
        <w:t>emike në mesin e pacientëve me fibrilacion atrial</w:t>
      </w:r>
      <w:r w:rsidRPr="007F764F">
        <w:rPr>
          <w:rFonts w:cstheme="minorHAnsi"/>
          <w:color w:val="000000"/>
          <w:sz w:val="24"/>
          <w:szCs w:val="24"/>
        </w:rPr>
        <w:t xml:space="preserve"> jo valvular, të cilët ishin në rrezik mesatar deri në të lartë për </w:t>
      </w:r>
      <w:r>
        <w:rPr>
          <w:rFonts w:cstheme="minorHAnsi"/>
          <w:color w:val="000000"/>
          <w:sz w:val="24"/>
          <w:szCs w:val="24"/>
        </w:rPr>
        <w:t>insult</w:t>
      </w:r>
      <w:r w:rsidRPr="007F764F">
        <w:rPr>
          <w:rFonts w:cstheme="minorHAnsi"/>
          <w:color w:val="000000"/>
          <w:sz w:val="24"/>
          <w:szCs w:val="24"/>
        </w:rPr>
        <w:t xml:space="preserve"> ishemik</w:t>
      </w:r>
      <w:r>
        <w:rPr>
          <w:rFonts w:cstheme="minorHAnsi"/>
          <w:color w:val="000000"/>
          <w:sz w:val="24"/>
          <w:szCs w:val="24"/>
        </w:rPr>
        <w:t xml:space="preserve"> cerebral</w:t>
      </w:r>
      <w:r w:rsidRPr="007F764F">
        <w:rPr>
          <w:rFonts w:cstheme="minorHAnsi"/>
          <w:color w:val="000000"/>
          <w:sz w:val="24"/>
          <w:szCs w:val="24"/>
        </w:rPr>
        <w:t xml:space="preserve"> (sipas sistemit të pikëzimit CHADS</w:t>
      </w:r>
      <w:r w:rsidRPr="009E1ED2">
        <w:rPr>
          <w:rFonts w:cstheme="minorHAnsi"/>
          <w:color w:val="000000"/>
          <w:sz w:val="24"/>
          <w:szCs w:val="24"/>
          <w:vertAlign w:val="subscript"/>
        </w:rPr>
        <w:t>2</w:t>
      </w:r>
      <w:r w:rsidRPr="007F764F">
        <w:rPr>
          <w:rFonts w:cstheme="minorHAnsi"/>
          <w:color w:val="000000"/>
          <w:sz w:val="24"/>
          <w:szCs w:val="24"/>
        </w:rPr>
        <w:t>) në studimin e randomizuar fazë III Rocket AF</w:t>
      </w:r>
      <w:r>
        <w:rPr>
          <w:rFonts w:cstheme="minorHAnsi"/>
          <w:color w:val="000000"/>
          <w:sz w:val="24"/>
          <w:szCs w:val="24"/>
        </w:rPr>
        <w:t xml:space="preserve">. </w:t>
      </w:r>
      <w:r w:rsidRPr="007F764F">
        <w:rPr>
          <w:rFonts w:cstheme="minorHAnsi"/>
          <w:color w:val="000000"/>
          <w:sz w:val="24"/>
          <w:szCs w:val="24"/>
        </w:rPr>
        <w:t>(194)</w:t>
      </w:r>
    </w:p>
    <w:p w14:paraId="2651373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Në një nënanalizë të këtij studimi u synua të përcaktohej nëse efikasiteti dhe siguria e rivaroxaban krahasuar me </w:t>
      </w:r>
      <w:r>
        <w:rPr>
          <w:rFonts w:cstheme="minorHAnsi"/>
          <w:color w:val="000000"/>
          <w:sz w:val="24"/>
          <w:szCs w:val="24"/>
        </w:rPr>
        <w:t>varf</w:t>
      </w:r>
      <w:r w:rsidRPr="007F764F">
        <w:rPr>
          <w:rFonts w:cstheme="minorHAnsi"/>
          <w:color w:val="000000"/>
          <w:sz w:val="24"/>
          <w:szCs w:val="24"/>
        </w:rPr>
        <w:t>arin</w:t>
      </w:r>
      <w:r>
        <w:rPr>
          <w:rFonts w:cstheme="minorHAnsi"/>
          <w:color w:val="000000"/>
          <w:sz w:val="24"/>
          <w:szCs w:val="24"/>
        </w:rPr>
        <w:t>ën</w:t>
      </w:r>
      <w:r w:rsidRPr="007F764F">
        <w:rPr>
          <w:rFonts w:cstheme="minorHAnsi"/>
          <w:color w:val="000000"/>
          <w:sz w:val="24"/>
          <w:szCs w:val="24"/>
        </w:rPr>
        <w:t xml:space="preserve"> tek pacientë</w:t>
      </w:r>
      <w:r>
        <w:rPr>
          <w:rFonts w:cstheme="minorHAnsi"/>
          <w:color w:val="000000"/>
          <w:sz w:val="24"/>
          <w:szCs w:val="24"/>
        </w:rPr>
        <w:t>t</w:t>
      </w:r>
      <w:r w:rsidRPr="007F764F">
        <w:rPr>
          <w:rFonts w:cstheme="minorHAnsi"/>
          <w:color w:val="000000"/>
          <w:sz w:val="24"/>
          <w:szCs w:val="24"/>
        </w:rPr>
        <w:t xml:space="preserve"> me in</w:t>
      </w:r>
      <w:r>
        <w:rPr>
          <w:rFonts w:cstheme="minorHAnsi"/>
          <w:color w:val="000000"/>
          <w:sz w:val="24"/>
          <w:szCs w:val="24"/>
        </w:rPr>
        <w:t>sult</w:t>
      </w:r>
      <w:r w:rsidRPr="007F764F">
        <w:rPr>
          <w:rFonts w:cstheme="minorHAnsi"/>
          <w:color w:val="000000"/>
          <w:sz w:val="24"/>
          <w:szCs w:val="24"/>
        </w:rPr>
        <w:t xml:space="preserve"> cerebral të mëparshëm ose atak ishemik tranzitor ishte në përputhje me rezultatet e studimi tek pacientët pa in</w:t>
      </w:r>
      <w:r>
        <w:rPr>
          <w:rFonts w:cstheme="minorHAnsi"/>
          <w:color w:val="000000"/>
          <w:sz w:val="24"/>
          <w:szCs w:val="24"/>
        </w:rPr>
        <w:t>sult</w:t>
      </w:r>
      <w:r w:rsidRPr="007F764F">
        <w:rPr>
          <w:rFonts w:cstheme="minorHAnsi"/>
          <w:color w:val="000000"/>
          <w:sz w:val="24"/>
          <w:szCs w:val="24"/>
        </w:rPr>
        <w:t xml:space="preserve"> cerebral</w:t>
      </w:r>
      <w:r>
        <w:rPr>
          <w:rFonts w:cstheme="minorHAnsi"/>
          <w:color w:val="000000"/>
          <w:sz w:val="24"/>
          <w:szCs w:val="24"/>
        </w:rPr>
        <w:t xml:space="preserve"> apo atak ishemik tranzitor</w:t>
      </w:r>
      <w:r w:rsidRPr="007F764F">
        <w:rPr>
          <w:rFonts w:cstheme="minorHAnsi"/>
          <w:color w:val="000000"/>
          <w:sz w:val="24"/>
          <w:szCs w:val="24"/>
        </w:rPr>
        <w:t xml:space="preserve"> të mëparshëm. Arsyetimi fillestar i kësaj nënanalize ishte se efektet e trajtimit mund të ndryshoj</w:t>
      </w:r>
      <w:r>
        <w:rPr>
          <w:rFonts w:cstheme="minorHAnsi"/>
          <w:color w:val="000000"/>
          <w:sz w:val="24"/>
          <w:szCs w:val="24"/>
        </w:rPr>
        <w:t>në midis pacientëve me dhe</w:t>
      </w:r>
      <w:r w:rsidRPr="007F764F">
        <w:rPr>
          <w:rFonts w:cstheme="minorHAnsi"/>
          <w:color w:val="000000"/>
          <w:sz w:val="24"/>
          <w:szCs w:val="24"/>
        </w:rPr>
        <w:t xml:space="preserve"> pa go</w:t>
      </w:r>
      <w:r>
        <w:rPr>
          <w:rFonts w:cstheme="minorHAnsi"/>
          <w:color w:val="000000"/>
          <w:sz w:val="24"/>
          <w:szCs w:val="24"/>
        </w:rPr>
        <w:t>ditje të mëparshme në tru ose TIA</w:t>
      </w:r>
      <w:r w:rsidRPr="007F764F">
        <w:rPr>
          <w:rFonts w:cstheme="minorHAnsi"/>
          <w:color w:val="000000"/>
          <w:sz w:val="24"/>
          <w:szCs w:val="24"/>
        </w:rPr>
        <w:t>, sepse edhe faktorët e riskut dhe efikasisteti e siguria e mjekimit ndryshojnë ndërmjet këtyre dy grupeve. (208)</w:t>
      </w:r>
    </w:p>
    <w:p w14:paraId="14BF9CE3" w14:textId="77777777" w:rsidR="009E1860" w:rsidRPr="007F764F" w:rsidRDefault="009E1860" w:rsidP="009E1860">
      <w:pPr>
        <w:rPr>
          <w:rFonts w:cstheme="minorHAnsi"/>
          <w:color w:val="000000"/>
          <w:sz w:val="24"/>
          <w:szCs w:val="24"/>
        </w:rPr>
      </w:pPr>
      <w:r w:rsidRPr="007F764F">
        <w:rPr>
          <w:rFonts w:cstheme="minorHAnsi"/>
          <w:color w:val="000000"/>
          <w:sz w:val="24"/>
          <w:szCs w:val="24"/>
        </w:rPr>
        <w:t>Në këtë analizë të nëngrupit të ROCKET AF, u vërejt se pacientët m</w:t>
      </w:r>
      <w:r>
        <w:rPr>
          <w:rFonts w:cstheme="minorHAnsi"/>
          <w:color w:val="000000"/>
          <w:sz w:val="24"/>
          <w:szCs w:val="24"/>
        </w:rPr>
        <w:t>e insult</w:t>
      </w:r>
      <w:r w:rsidRPr="007F764F">
        <w:rPr>
          <w:rFonts w:cstheme="minorHAnsi"/>
          <w:color w:val="000000"/>
          <w:sz w:val="24"/>
          <w:szCs w:val="24"/>
        </w:rPr>
        <w:t xml:space="preserve"> cerebral</w:t>
      </w:r>
      <w:r>
        <w:rPr>
          <w:rFonts w:cstheme="minorHAnsi"/>
          <w:color w:val="000000"/>
          <w:sz w:val="24"/>
          <w:szCs w:val="24"/>
        </w:rPr>
        <w:t xml:space="preserve"> ose</w:t>
      </w:r>
      <w:r w:rsidRPr="005838C8">
        <w:t xml:space="preserve"> </w:t>
      </w:r>
      <w:r w:rsidRPr="005838C8">
        <w:rPr>
          <w:rFonts w:cstheme="minorHAnsi"/>
          <w:color w:val="000000"/>
          <w:sz w:val="24"/>
          <w:szCs w:val="24"/>
        </w:rPr>
        <w:t>atak ishemik tranzitor</w:t>
      </w:r>
      <w:r w:rsidRPr="007F764F">
        <w:rPr>
          <w:rFonts w:cstheme="minorHAnsi"/>
          <w:color w:val="000000"/>
          <w:sz w:val="24"/>
          <w:szCs w:val="24"/>
        </w:rPr>
        <w:t xml:space="preserve"> të mëparëshë</w:t>
      </w:r>
      <w:r>
        <w:rPr>
          <w:rFonts w:cstheme="minorHAnsi"/>
          <w:color w:val="000000"/>
          <w:sz w:val="24"/>
          <w:szCs w:val="24"/>
        </w:rPr>
        <w:t>m</w:t>
      </w:r>
      <w:r w:rsidRPr="007F764F">
        <w:rPr>
          <w:rFonts w:cstheme="minorHAnsi"/>
          <w:color w:val="000000"/>
          <w:sz w:val="24"/>
          <w:szCs w:val="24"/>
        </w:rPr>
        <w:t xml:space="preserve"> kishin </w:t>
      </w:r>
      <w:r>
        <w:rPr>
          <w:rFonts w:cstheme="minorHAnsi"/>
          <w:color w:val="000000"/>
          <w:sz w:val="24"/>
          <w:szCs w:val="24"/>
        </w:rPr>
        <w:t xml:space="preserve">numër më të lartë të </w:t>
      </w:r>
      <w:r w:rsidRPr="007F764F">
        <w:rPr>
          <w:rFonts w:cstheme="minorHAnsi"/>
          <w:color w:val="000000"/>
          <w:sz w:val="24"/>
          <w:szCs w:val="24"/>
        </w:rPr>
        <w:t>i</w:t>
      </w:r>
      <w:r>
        <w:rPr>
          <w:rFonts w:cstheme="minorHAnsi"/>
          <w:color w:val="000000"/>
          <w:sz w:val="24"/>
          <w:szCs w:val="24"/>
        </w:rPr>
        <w:t>nsultit</w:t>
      </w:r>
      <w:r w:rsidRPr="007F764F">
        <w:rPr>
          <w:rFonts w:cstheme="minorHAnsi"/>
          <w:color w:val="000000"/>
          <w:sz w:val="24"/>
          <w:szCs w:val="24"/>
        </w:rPr>
        <w:t xml:space="preserve"> cerebral dhe emboli</w:t>
      </w:r>
      <w:r>
        <w:rPr>
          <w:rFonts w:cstheme="minorHAnsi"/>
          <w:color w:val="000000"/>
          <w:sz w:val="24"/>
          <w:szCs w:val="24"/>
        </w:rPr>
        <w:t>së</w:t>
      </w:r>
      <w:r w:rsidRPr="007F764F">
        <w:rPr>
          <w:rFonts w:cstheme="minorHAnsi"/>
          <w:color w:val="000000"/>
          <w:sz w:val="24"/>
          <w:szCs w:val="24"/>
        </w:rPr>
        <w:t xml:space="preserve"> sistemike jashtë </w:t>
      </w:r>
      <w:r>
        <w:rPr>
          <w:rFonts w:cstheme="minorHAnsi"/>
          <w:color w:val="000000"/>
          <w:sz w:val="24"/>
          <w:szCs w:val="24"/>
        </w:rPr>
        <w:t>sitemit nervor qëndror</w:t>
      </w:r>
      <w:r w:rsidRPr="007F764F">
        <w:rPr>
          <w:rFonts w:cstheme="minorHAnsi"/>
          <w:color w:val="000000"/>
          <w:sz w:val="24"/>
          <w:szCs w:val="24"/>
        </w:rPr>
        <w:t>, por norma më të ulëta të hemorragjisë madhore nën terapinë me antikoagulantë oralë sesa at</w:t>
      </w:r>
      <w:r>
        <w:rPr>
          <w:rFonts w:cstheme="minorHAnsi"/>
          <w:color w:val="000000"/>
          <w:sz w:val="24"/>
          <w:szCs w:val="24"/>
        </w:rPr>
        <w:t>a</w:t>
      </w:r>
      <w:r w:rsidRPr="007F764F">
        <w:rPr>
          <w:rFonts w:cstheme="minorHAnsi"/>
          <w:color w:val="000000"/>
          <w:sz w:val="24"/>
          <w:szCs w:val="24"/>
        </w:rPr>
        <w:t xml:space="preserve"> pa goditje të mëparshme ose TIA.</w:t>
      </w:r>
      <w:r>
        <w:rPr>
          <w:rFonts w:cstheme="minorHAnsi"/>
          <w:color w:val="000000"/>
          <w:sz w:val="24"/>
          <w:szCs w:val="24"/>
        </w:rPr>
        <w:t xml:space="preserve"> </w:t>
      </w:r>
      <w:r w:rsidRPr="007F764F">
        <w:rPr>
          <w:rFonts w:cstheme="minorHAnsi"/>
          <w:color w:val="000000"/>
          <w:sz w:val="24"/>
          <w:szCs w:val="24"/>
        </w:rPr>
        <w:t>(208)</w:t>
      </w:r>
    </w:p>
    <w:p w14:paraId="15F25F86" w14:textId="77777777" w:rsidR="009E1860" w:rsidRPr="007F764F" w:rsidRDefault="009E1860" w:rsidP="009E1860">
      <w:pPr>
        <w:rPr>
          <w:rFonts w:cstheme="minorHAnsi"/>
          <w:color w:val="000000"/>
          <w:sz w:val="24"/>
          <w:szCs w:val="24"/>
        </w:rPr>
      </w:pPr>
      <w:r>
        <w:rPr>
          <w:rFonts w:cstheme="minorHAnsi"/>
          <w:color w:val="000000"/>
          <w:sz w:val="24"/>
          <w:szCs w:val="24"/>
        </w:rPr>
        <w:t xml:space="preserve">U </w:t>
      </w:r>
      <w:r w:rsidRPr="007F764F">
        <w:rPr>
          <w:rFonts w:cstheme="minorHAnsi"/>
          <w:color w:val="000000"/>
          <w:sz w:val="24"/>
          <w:szCs w:val="24"/>
        </w:rPr>
        <w:t xml:space="preserve">vu re gjithashtu se efektet e trajtimit të rivaroxaban dhe </w:t>
      </w:r>
      <w:r>
        <w:rPr>
          <w:rFonts w:cstheme="minorHAnsi"/>
          <w:color w:val="000000"/>
          <w:sz w:val="24"/>
          <w:szCs w:val="24"/>
        </w:rPr>
        <w:t>varf</w:t>
      </w:r>
      <w:r w:rsidRPr="007F764F">
        <w:rPr>
          <w:rFonts w:cstheme="minorHAnsi"/>
          <w:color w:val="000000"/>
          <w:sz w:val="24"/>
          <w:szCs w:val="24"/>
        </w:rPr>
        <w:t xml:space="preserve">arinës në pacientët me </w:t>
      </w:r>
      <w:r>
        <w:rPr>
          <w:rFonts w:cstheme="minorHAnsi"/>
          <w:color w:val="000000"/>
          <w:sz w:val="24"/>
          <w:szCs w:val="24"/>
        </w:rPr>
        <w:t xml:space="preserve">insult cerebral </w:t>
      </w:r>
      <w:r w:rsidRPr="005838C8">
        <w:rPr>
          <w:rFonts w:cstheme="minorHAnsi"/>
          <w:color w:val="000000"/>
          <w:sz w:val="24"/>
          <w:szCs w:val="24"/>
        </w:rPr>
        <w:t>ose atak ishemik tranzitor</w:t>
      </w:r>
      <w:r w:rsidRPr="007F764F">
        <w:rPr>
          <w:rFonts w:cstheme="minorHAnsi"/>
          <w:color w:val="000000"/>
          <w:sz w:val="24"/>
          <w:szCs w:val="24"/>
        </w:rPr>
        <w:t xml:space="preserve"> të mëparsh</w:t>
      </w:r>
      <w:r>
        <w:rPr>
          <w:rFonts w:cstheme="minorHAnsi"/>
          <w:color w:val="000000"/>
          <w:sz w:val="24"/>
          <w:szCs w:val="24"/>
        </w:rPr>
        <w:t>ëm</w:t>
      </w:r>
      <w:r w:rsidRPr="007F764F">
        <w:rPr>
          <w:rFonts w:cstheme="minorHAnsi"/>
          <w:color w:val="000000"/>
          <w:sz w:val="24"/>
          <w:szCs w:val="24"/>
        </w:rPr>
        <w:t xml:space="preserve"> ishin në përputhje me ato në pacientët pa </w:t>
      </w:r>
      <w:r w:rsidRPr="005838C8">
        <w:rPr>
          <w:rFonts w:cstheme="minorHAnsi"/>
          <w:color w:val="000000"/>
          <w:sz w:val="24"/>
          <w:szCs w:val="24"/>
        </w:rPr>
        <w:t>insult cerebral ose atak ishemik tranzitor të mëparsh</w:t>
      </w:r>
      <w:r>
        <w:rPr>
          <w:rFonts w:cstheme="minorHAnsi"/>
          <w:color w:val="000000"/>
          <w:sz w:val="24"/>
          <w:szCs w:val="24"/>
        </w:rPr>
        <w:t>ë</w:t>
      </w:r>
      <w:r w:rsidRPr="005838C8">
        <w:rPr>
          <w:rFonts w:cstheme="minorHAnsi"/>
          <w:color w:val="000000"/>
          <w:sz w:val="24"/>
          <w:szCs w:val="24"/>
        </w:rPr>
        <w:t>m</w:t>
      </w:r>
      <w:r w:rsidRPr="007F764F">
        <w:rPr>
          <w:rFonts w:cstheme="minorHAnsi"/>
          <w:color w:val="000000"/>
          <w:sz w:val="24"/>
          <w:szCs w:val="24"/>
        </w:rPr>
        <w:t xml:space="preserve"> si dhe me popullatën e përgjithshme të studimit. Kështu, rezultatet e besueshme të</w:t>
      </w:r>
      <w:r>
        <w:rPr>
          <w:rFonts w:cstheme="minorHAnsi"/>
          <w:color w:val="000000"/>
          <w:sz w:val="24"/>
          <w:szCs w:val="24"/>
        </w:rPr>
        <w:t xml:space="preserve"> </w:t>
      </w:r>
      <w:r w:rsidRPr="007F764F">
        <w:rPr>
          <w:rFonts w:cstheme="minorHAnsi"/>
          <w:color w:val="000000"/>
          <w:sz w:val="24"/>
          <w:szCs w:val="24"/>
        </w:rPr>
        <w:t xml:space="preserve">përftuara nga e gjithë popullata e marrë në studim në Rocket AF mund të përgjithësohen te pacientët me </w:t>
      </w:r>
      <w:r>
        <w:rPr>
          <w:rFonts w:cstheme="minorHAnsi"/>
          <w:color w:val="000000"/>
          <w:sz w:val="24"/>
          <w:szCs w:val="24"/>
        </w:rPr>
        <w:t>fibrilacion atrial</w:t>
      </w:r>
      <w:r w:rsidRPr="007F764F">
        <w:rPr>
          <w:rFonts w:cstheme="minorHAnsi"/>
          <w:color w:val="000000"/>
          <w:sz w:val="24"/>
          <w:szCs w:val="24"/>
        </w:rPr>
        <w:t xml:space="preserve"> dhe </w:t>
      </w:r>
      <w:r>
        <w:rPr>
          <w:rFonts w:cstheme="minorHAnsi"/>
          <w:color w:val="000000"/>
          <w:sz w:val="24"/>
          <w:szCs w:val="24"/>
        </w:rPr>
        <w:t>insult cerebral ose atak ishemik tranzitor të mëparshëm</w:t>
      </w:r>
      <w:r w:rsidRPr="007F764F">
        <w:rPr>
          <w:rFonts w:cstheme="minorHAnsi"/>
          <w:color w:val="000000"/>
          <w:sz w:val="24"/>
          <w:szCs w:val="24"/>
        </w:rPr>
        <w:t xml:space="preserve">. Prandaj, rivaroxaban është një alternativë ndaj </w:t>
      </w:r>
      <w:r>
        <w:rPr>
          <w:rFonts w:cstheme="minorHAnsi"/>
          <w:color w:val="000000"/>
          <w:sz w:val="24"/>
          <w:szCs w:val="24"/>
        </w:rPr>
        <w:t>varf</w:t>
      </w:r>
      <w:r w:rsidRPr="007F764F">
        <w:rPr>
          <w:rFonts w:cstheme="minorHAnsi"/>
          <w:color w:val="000000"/>
          <w:sz w:val="24"/>
          <w:szCs w:val="24"/>
        </w:rPr>
        <w:t>arinës për parandalimin e infrakt</w:t>
      </w:r>
      <w:r>
        <w:rPr>
          <w:rFonts w:cstheme="minorHAnsi"/>
          <w:color w:val="000000"/>
          <w:sz w:val="24"/>
          <w:szCs w:val="24"/>
        </w:rPr>
        <w:t>it /insultit</w:t>
      </w:r>
      <w:r w:rsidRPr="007F764F">
        <w:rPr>
          <w:rFonts w:cstheme="minorHAnsi"/>
          <w:color w:val="000000"/>
          <w:sz w:val="24"/>
          <w:szCs w:val="24"/>
        </w:rPr>
        <w:t xml:space="preserve"> parësor cerebral si edhe përsëritjes së tij, veçanërisht duke pasur parasysh shkallën më të ulët të hemorragjisë</w:t>
      </w:r>
      <w:r>
        <w:rPr>
          <w:rFonts w:cstheme="minorHAnsi"/>
          <w:color w:val="000000"/>
          <w:sz w:val="24"/>
          <w:szCs w:val="24"/>
        </w:rPr>
        <w:t xml:space="preserve"> intrakraniale dhe fatale </w:t>
      </w:r>
      <w:r w:rsidRPr="007F764F">
        <w:rPr>
          <w:rFonts w:cstheme="minorHAnsi"/>
          <w:color w:val="000000"/>
          <w:sz w:val="24"/>
          <w:szCs w:val="24"/>
        </w:rPr>
        <w:t>të</w:t>
      </w:r>
      <w:r>
        <w:rPr>
          <w:rFonts w:cstheme="minorHAnsi"/>
          <w:color w:val="000000"/>
          <w:sz w:val="24"/>
          <w:szCs w:val="24"/>
        </w:rPr>
        <w:t xml:space="preserve"> r</w:t>
      </w:r>
      <w:r w:rsidRPr="007F764F">
        <w:rPr>
          <w:rFonts w:cstheme="minorHAnsi"/>
          <w:color w:val="000000"/>
          <w:sz w:val="24"/>
          <w:szCs w:val="24"/>
        </w:rPr>
        <w:t>ivaroxaban pë</w:t>
      </w:r>
      <w:r>
        <w:rPr>
          <w:rFonts w:cstheme="minorHAnsi"/>
          <w:color w:val="000000"/>
          <w:sz w:val="24"/>
          <w:szCs w:val="24"/>
        </w:rPr>
        <w:t>rkundrejt 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(208)</w:t>
      </w:r>
    </w:p>
    <w:p w14:paraId="0E474DDB" w14:textId="77777777" w:rsidR="009E1860" w:rsidRPr="007F764F" w:rsidRDefault="009E1860" w:rsidP="009E1860">
      <w:pPr>
        <w:rPr>
          <w:rFonts w:cstheme="minorHAnsi"/>
          <w:color w:val="000000"/>
          <w:sz w:val="24"/>
          <w:szCs w:val="24"/>
        </w:rPr>
      </w:pPr>
      <w:r w:rsidRPr="007F764F">
        <w:rPr>
          <w:rFonts w:cstheme="minorHAnsi"/>
          <w:color w:val="000000"/>
          <w:sz w:val="24"/>
          <w:szCs w:val="24"/>
        </w:rPr>
        <w:t>Individët që marrin rivaroxaban duhet të informohen që të mos e ndërpresin atë përpara se të flasin me profesionistin e tyre të kujdesit shëndetësor. Ky rekomandim bëhet pasi në fund të ROCKET AF, kur pacientët kaluan nga bari i studimit (rivaroxabani) në</w:t>
      </w:r>
      <w:r>
        <w:rPr>
          <w:rFonts w:cstheme="minorHAnsi"/>
          <w:color w:val="000000"/>
          <w:sz w:val="24"/>
          <w:szCs w:val="24"/>
        </w:rPr>
        <w:t xml:space="preserve"> antivitaminikët K</w:t>
      </w:r>
      <w:r w:rsidRPr="007F764F">
        <w:rPr>
          <w:rFonts w:cstheme="minorHAnsi"/>
          <w:color w:val="000000"/>
          <w:sz w:val="24"/>
          <w:szCs w:val="24"/>
        </w:rPr>
        <w:t xml:space="preserve"> si </w:t>
      </w:r>
      <w:r>
        <w:rPr>
          <w:rFonts w:cstheme="minorHAnsi"/>
          <w:color w:val="000000"/>
          <w:sz w:val="24"/>
          <w:szCs w:val="24"/>
        </w:rPr>
        <w:t>varf</w:t>
      </w:r>
      <w:r w:rsidRPr="007F764F">
        <w:rPr>
          <w:rFonts w:cstheme="minorHAnsi"/>
          <w:color w:val="000000"/>
          <w:sz w:val="24"/>
          <w:szCs w:val="24"/>
        </w:rPr>
        <w:t xml:space="preserve">arina, koha mesatare për të arritur INR terapeutike ishte më e gjatë (13 ditë) për ata që ishin nën rivaroxaban përkundrejt atyre në grupin e </w:t>
      </w:r>
      <w:r>
        <w:rPr>
          <w:rFonts w:cstheme="minorHAnsi"/>
          <w:color w:val="000000"/>
          <w:sz w:val="24"/>
          <w:szCs w:val="24"/>
        </w:rPr>
        <w:t>varf</w:t>
      </w:r>
      <w:r w:rsidRPr="007F764F">
        <w:rPr>
          <w:rFonts w:cstheme="minorHAnsi"/>
          <w:color w:val="000000"/>
          <w:sz w:val="24"/>
          <w:szCs w:val="24"/>
        </w:rPr>
        <w:t>arinës (3 ditë). Për këtë arsye numri i ngjarjeve parësore (</w:t>
      </w:r>
      <w:r>
        <w:rPr>
          <w:rFonts w:cstheme="minorHAnsi"/>
          <w:color w:val="000000"/>
          <w:sz w:val="24"/>
          <w:szCs w:val="24"/>
        </w:rPr>
        <w:t>insulti</w:t>
      </w:r>
      <w:r w:rsidRPr="007F764F">
        <w:rPr>
          <w:rFonts w:cstheme="minorHAnsi"/>
          <w:color w:val="000000"/>
          <w:sz w:val="24"/>
          <w:szCs w:val="24"/>
        </w:rPr>
        <w:t xml:space="preserve"> cerebrale ose embolia sistemike) gjatë muajit të parë pas përfundimit të trajtimit të rastësishëm ishte dukshëm më i madh midis pacientëve që kalonin nga rivaroxaban sesa nga </w:t>
      </w:r>
      <w:r>
        <w:rPr>
          <w:rFonts w:cstheme="minorHAnsi"/>
          <w:color w:val="000000"/>
          <w:sz w:val="24"/>
          <w:szCs w:val="24"/>
        </w:rPr>
        <w:t>v</w:t>
      </w:r>
      <w:r w:rsidRPr="007F764F">
        <w:rPr>
          <w:rFonts w:cstheme="minorHAnsi"/>
          <w:color w:val="000000"/>
          <w:sz w:val="24"/>
          <w:szCs w:val="24"/>
        </w:rPr>
        <w:t xml:space="preserve">arfarina (22 rivaroxaban kundrejt 7 </w:t>
      </w:r>
      <w:r>
        <w:rPr>
          <w:rFonts w:cstheme="minorHAnsi"/>
          <w:color w:val="000000"/>
          <w:sz w:val="24"/>
          <w:szCs w:val="24"/>
        </w:rPr>
        <w:t>varf</w:t>
      </w:r>
      <w:r w:rsidRPr="007F764F">
        <w:rPr>
          <w:rFonts w:cstheme="minorHAnsi"/>
          <w:color w:val="000000"/>
          <w:sz w:val="24"/>
          <w:szCs w:val="24"/>
        </w:rPr>
        <w:t>arin; p=0·008).(208</w:t>
      </w:r>
      <w:r>
        <w:rPr>
          <w:rFonts w:cstheme="minorHAnsi"/>
          <w:color w:val="000000"/>
          <w:sz w:val="24"/>
          <w:szCs w:val="24"/>
        </w:rPr>
        <w:t>)</w:t>
      </w:r>
    </w:p>
    <w:p w14:paraId="60828A8C" w14:textId="77777777" w:rsidR="009E1860" w:rsidRDefault="009E1860" w:rsidP="009E1860">
      <w:pPr>
        <w:rPr>
          <w:rFonts w:cstheme="minorHAnsi"/>
          <w:b/>
          <w:color w:val="000000"/>
          <w:sz w:val="24"/>
          <w:szCs w:val="24"/>
        </w:rPr>
      </w:pPr>
    </w:p>
    <w:p w14:paraId="0B09FB59" w14:textId="77777777" w:rsidR="009E1860" w:rsidRDefault="009E1860" w:rsidP="009E1860">
      <w:pPr>
        <w:rPr>
          <w:rFonts w:cstheme="minorHAnsi"/>
          <w:b/>
          <w:color w:val="000000"/>
          <w:sz w:val="24"/>
          <w:szCs w:val="24"/>
        </w:rPr>
      </w:pPr>
    </w:p>
    <w:p w14:paraId="18FC3AAF" w14:textId="77777777" w:rsidR="009E1860" w:rsidRPr="004C6A2C" w:rsidRDefault="009E1860" w:rsidP="009E1860">
      <w:pPr>
        <w:rPr>
          <w:rFonts w:cstheme="minorHAnsi"/>
          <w:b/>
          <w:color w:val="000000"/>
          <w:sz w:val="24"/>
          <w:szCs w:val="24"/>
        </w:rPr>
      </w:pPr>
      <w:r w:rsidRPr="004C6A2C">
        <w:rPr>
          <w:rFonts w:cstheme="minorHAnsi"/>
          <w:b/>
          <w:color w:val="000000"/>
          <w:sz w:val="24"/>
          <w:szCs w:val="24"/>
        </w:rPr>
        <w:t>Studimi Reaffirm (209)</w:t>
      </w:r>
    </w:p>
    <w:p w14:paraId="1F640BA4"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Sfondi i studimit dhe qëllimi - Ekzistojnë të dhëna të kufizuara në botën reale që krahasojnë çdo antikoagulant </w:t>
      </w:r>
      <w:r>
        <w:rPr>
          <w:rFonts w:cstheme="minorHAnsi"/>
          <w:color w:val="000000"/>
          <w:sz w:val="24"/>
          <w:szCs w:val="24"/>
        </w:rPr>
        <w:t xml:space="preserve">të ri oral </w:t>
      </w:r>
      <w:r w:rsidRPr="007F764F">
        <w:rPr>
          <w:rFonts w:cstheme="minorHAnsi"/>
          <w:color w:val="000000"/>
          <w:sz w:val="24"/>
          <w:szCs w:val="24"/>
        </w:rPr>
        <w:t xml:space="preserve">(NOAC) me </w:t>
      </w:r>
      <w:r>
        <w:rPr>
          <w:rFonts w:cstheme="minorHAnsi"/>
          <w:color w:val="000000"/>
          <w:sz w:val="24"/>
          <w:szCs w:val="24"/>
        </w:rPr>
        <w:t>varf</w:t>
      </w:r>
      <w:r w:rsidRPr="007F764F">
        <w:rPr>
          <w:rFonts w:cstheme="minorHAnsi"/>
          <w:color w:val="000000"/>
          <w:sz w:val="24"/>
          <w:szCs w:val="24"/>
        </w:rPr>
        <w:t>arinën në pacientët me fibrilacion atrial jo</w:t>
      </w:r>
      <w:r>
        <w:rPr>
          <w:rFonts w:cstheme="minorHAnsi"/>
          <w:color w:val="000000"/>
          <w:sz w:val="24"/>
          <w:szCs w:val="24"/>
        </w:rPr>
        <w:t>-</w:t>
      </w:r>
      <w:r w:rsidRPr="007F764F">
        <w:rPr>
          <w:rFonts w:cstheme="minorHAnsi"/>
          <w:color w:val="000000"/>
          <w:sz w:val="24"/>
          <w:szCs w:val="24"/>
        </w:rPr>
        <w:t xml:space="preserve">valvular që kanë pasur një </w:t>
      </w:r>
      <w:r>
        <w:rPr>
          <w:rFonts w:cstheme="minorHAnsi"/>
          <w:color w:val="000000"/>
          <w:sz w:val="24"/>
          <w:szCs w:val="24"/>
        </w:rPr>
        <w:t xml:space="preserve">insult </w:t>
      </w:r>
      <w:r w:rsidRPr="007F764F">
        <w:rPr>
          <w:rFonts w:cstheme="minorHAnsi"/>
          <w:color w:val="000000"/>
          <w:sz w:val="24"/>
          <w:szCs w:val="24"/>
        </w:rPr>
        <w:t>të mëparsh</w:t>
      </w:r>
      <w:r>
        <w:rPr>
          <w:rFonts w:cstheme="minorHAnsi"/>
          <w:color w:val="000000"/>
          <w:sz w:val="24"/>
          <w:szCs w:val="24"/>
        </w:rPr>
        <w:t>ëm</w:t>
      </w:r>
      <w:r w:rsidRPr="007F764F">
        <w:rPr>
          <w:rFonts w:cstheme="minorHAnsi"/>
          <w:color w:val="000000"/>
          <w:sz w:val="24"/>
          <w:szCs w:val="24"/>
        </w:rPr>
        <w:t xml:space="preserve"> ishemike ose atak ishemik tranzitor.</w:t>
      </w:r>
    </w:p>
    <w:p w14:paraId="5C1F51AB" w14:textId="77777777" w:rsidR="009E1860" w:rsidRPr="007F764F" w:rsidRDefault="009E1860" w:rsidP="009E1860">
      <w:pPr>
        <w:rPr>
          <w:rFonts w:cstheme="minorHAnsi"/>
          <w:color w:val="000000"/>
          <w:sz w:val="24"/>
          <w:szCs w:val="24"/>
        </w:rPr>
      </w:pPr>
      <w:r w:rsidRPr="007F764F">
        <w:rPr>
          <w:rFonts w:cstheme="minorHAnsi"/>
          <w:color w:val="000000"/>
          <w:sz w:val="24"/>
          <w:szCs w:val="24"/>
        </w:rPr>
        <w:t xml:space="preserve">Duke përdorur </w:t>
      </w:r>
      <w:r>
        <w:rPr>
          <w:rFonts w:cstheme="minorHAnsi"/>
          <w:color w:val="000000"/>
          <w:sz w:val="24"/>
          <w:szCs w:val="24"/>
        </w:rPr>
        <w:t>bazën e të dhënave</w:t>
      </w:r>
      <w:r w:rsidRPr="007F764F">
        <w:rPr>
          <w:rFonts w:cstheme="minorHAnsi"/>
          <w:color w:val="000000"/>
          <w:sz w:val="24"/>
          <w:szCs w:val="24"/>
        </w:rPr>
        <w:t xml:space="preserve"> MarketScan </w:t>
      </w:r>
      <w:r>
        <w:rPr>
          <w:rFonts w:cstheme="minorHAnsi"/>
          <w:color w:val="000000"/>
          <w:sz w:val="24"/>
          <w:szCs w:val="24"/>
        </w:rPr>
        <w:t xml:space="preserve">në ShBA </w:t>
      </w:r>
      <w:r w:rsidRPr="007F764F">
        <w:rPr>
          <w:rFonts w:cstheme="minorHAnsi"/>
          <w:color w:val="000000"/>
          <w:sz w:val="24"/>
          <w:szCs w:val="24"/>
        </w:rPr>
        <w:t>nga janari 2012 deri në qershor 2015, u identifikuan pacientë të rritur të sapofilluar me antikoagul</w:t>
      </w:r>
      <w:r>
        <w:rPr>
          <w:rFonts w:cstheme="minorHAnsi"/>
          <w:color w:val="000000"/>
          <w:sz w:val="24"/>
          <w:szCs w:val="24"/>
        </w:rPr>
        <w:t>antë oralë</w:t>
      </w:r>
      <w:r w:rsidRPr="007F764F">
        <w:rPr>
          <w:rFonts w:cstheme="minorHAnsi"/>
          <w:color w:val="000000"/>
          <w:sz w:val="24"/>
          <w:szCs w:val="24"/>
        </w:rPr>
        <w:t xml:space="preserve"> oral, me ≥2 kode diagnostikimi për fibrilacion atrial jo</w:t>
      </w:r>
      <w:r>
        <w:rPr>
          <w:rFonts w:cstheme="minorHAnsi"/>
          <w:color w:val="000000"/>
          <w:sz w:val="24"/>
          <w:szCs w:val="24"/>
        </w:rPr>
        <w:t>-</w:t>
      </w:r>
      <w:r w:rsidRPr="007F764F">
        <w:rPr>
          <w:rFonts w:cstheme="minorHAnsi"/>
          <w:color w:val="000000"/>
          <w:sz w:val="24"/>
          <w:szCs w:val="24"/>
        </w:rPr>
        <w:t xml:space="preserve">valvular, një histori </w:t>
      </w:r>
      <w:r>
        <w:rPr>
          <w:rFonts w:cstheme="minorHAnsi"/>
          <w:color w:val="000000"/>
          <w:sz w:val="24"/>
          <w:szCs w:val="24"/>
        </w:rPr>
        <w:t>për insult</w:t>
      </w:r>
      <w:r w:rsidRPr="007F764F">
        <w:rPr>
          <w:rFonts w:cstheme="minorHAnsi"/>
          <w:color w:val="000000"/>
          <w:sz w:val="24"/>
          <w:szCs w:val="24"/>
        </w:rPr>
        <w:t xml:space="preserve"> ishemik të mëparsh</w:t>
      </w:r>
      <w:r>
        <w:rPr>
          <w:rFonts w:cstheme="minorHAnsi"/>
          <w:color w:val="000000"/>
          <w:sz w:val="24"/>
          <w:szCs w:val="24"/>
        </w:rPr>
        <w:t>ëm</w:t>
      </w:r>
      <w:r w:rsidRPr="007F764F">
        <w:rPr>
          <w:rFonts w:cstheme="minorHAnsi"/>
          <w:color w:val="000000"/>
          <w:sz w:val="24"/>
          <w:szCs w:val="24"/>
        </w:rPr>
        <w:t>/atak</w:t>
      </w:r>
      <w:r>
        <w:rPr>
          <w:rFonts w:cstheme="minorHAnsi"/>
          <w:color w:val="000000"/>
          <w:sz w:val="24"/>
          <w:szCs w:val="24"/>
        </w:rPr>
        <w:t xml:space="preserve"> </w:t>
      </w:r>
      <w:r w:rsidRPr="007F764F">
        <w:rPr>
          <w:rFonts w:cstheme="minorHAnsi"/>
          <w:color w:val="000000"/>
          <w:sz w:val="24"/>
          <w:szCs w:val="24"/>
        </w:rPr>
        <w:t>ishemik tranzitor dhe ≥180 ditë në</w:t>
      </w:r>
      <w:r>
        <w:rPr>
          <w:rFonts w:cstheme="minorHAnsi"/>
          <w:color w:val="000000"/>
          <w:sz w:val="24"/>
          <w:szCs w:val="24"/>
        </w:rPr>
        <w:t xml:space="preserve">n mjekim </w:t>
      </w:r>
      <w:r w:rsidRPr="007F764F">
        <w:rPr>
          <w:rFonts w:cstheme="minorHAnsi"/>
          <w:color w:val="000000"/>
          <w:sz w:val="24"/>
          <w:szCs w:val="24"/>
        </w:rPr>
        <w:t xml:space="preserve">të vazhdueshëm.  U kryen tre analiza duke krahasuar grupet e përputhshme në raport 1:1 të apixaban kundrejt </w:t>
      </w:r>
      <w:r>
        <w:rPr>
          <w:rFonts w:cstheme="minorHAnsi"/>
          <w:color w:val="000000"/>
          <w:sz w:val="24"/>
          <w:szCs w:val="24"/>
        </w:rPr>
        <w:t>varf</w:t>
      </w:r>
      <w:r w:rsidRPr="007F764F">
        <w:rPr>
          <w:rFonts w:cstheme="minorHAnsi"/>
          <w:color w:val="000000"/>
          <w:sz w:val="24"/>
          <w:szCs w:val="24"/>
        </w:rPr>
        <w:t xml:space="preserve">arinës (n=2514), dabigatran kundrejt </w:t>
      </w:r>
      <w:r>
        <w:rPr>
          <w:rFonts w:cstheme="minorHAnsi"/>
          <w:color w:val="000000"/>
          <w:sz w:val="24"/>
          <w:szCs w:val="24"/>
        </w:rPr>
        <w:t>varf</w:t>
      </w:r>
      <w:r w:rsidRPr="007F764F">
        <w:rPr>
          <w:rFonts w:cstheme="minorHAnsi"/>
          <w:color w:val="000000"/>
          <w:sz w:val="24"/>
          <w:szCs w:val="24"/>
        </w:rPr>
        <w:t xml:space="preserve">arinës (n=1962) dhe rivaroxaban kundrejt </w:t>
      </w:r>
      <w:r>
        <w:rPr>
          <w:rFonts w:cstheme="minorHAnsi"/>
          <w:color w:val="000000"/>
          <w:sz w:val="24"/>
          <w:szCs w:val="24"/>
        </w:rPr>
        <w:t>varf</w:t>
      </w:r>
      <w:r w:rsidRPr="007F764F">
        <w:rPr>
          <w:rFonts w:cstheme="minorHAnsi"/>
          <w:color w:val="000000"/>
          <w:sz w:val="24"/>
          <w:szCs w:val="24"/>
        </w:rPr>
        <w:t xml:space="preserve">arinës (n=5208). Pacientët u ndoqën deri në shfaqjen e ngjarjes së kombinuar të </w:t>
      </w:r>
      <w:r>
        <w:rPr>
          <w:rFonts w:cstheme="minorHAnsi"/>
          <w:color w:val="000000"/>
          <w:sz w:val="24"/>
          <w:szCs w:val="24"/>
        </w:rPr>
        <w:t>insultit</w:t>
      </w:r>
      <w:r w:rsidRPr="007F764F">
        <w:rPr>
          <w:rFonts w:cstheme="minorHAnsi"/>
          <w:color w:val="000000"/>
          <w:sz w:val="24"/>
          <w:szCs w:val="24"/>
        </w:rPr>
        <w:t xml:space="preserve"> ishemik</w:t>
      </w:r>
      <w:r>
        <w:rPr>
          <w:rFonts w:cstheme="minorHAnsi"/>
          <w:color w:val="000000"/>
          <w:sz w:val="24"/>
          <w:szCs w:val="24"/>
        </w:rPr>
        <w:t xml:space="preserve"> </w:t>
      </w:r>
      <w:r w:rsidRPr="007F764F">
        <w:rPr>
          <w:rFonts w:cstheme="minorHAnsi"/>
          <w:color w:val="000000"/>
          <w:sz w:val="24"/>
          <w:szCs w:val="24"/>
        </w:rPr>
        <w:t>dhe hemorragjisë intrakraniale ose hemorragjisë madhore, ndërrimit/ndërprerjes së antikoagulimit oral, largimit nga databaza për shkak të siguracionit ose përfundimit të follo</w:t>
      </w:r>
      <w:r>
        <w:rPr>
          <w:rFonts w:cstheme="minorHAnsi"/>
          <w:color w:val="000000"/>
          <w:sz w:val="24"/>
          <w:szCs w:val="24"/>
        </w:rPr>
        <w:t>ë</w:t>
      </w:r>
      <w:r w:rsidRPr="007F764F">
        <w:rPr>
          <w:rFonts w:cstheme="minorHAnsi"/>
          <w:color w:val="000000"/>
          <w:sz w:val="24"/>
          <w:szCs w:val="24"/>
        </w:rPr>
        <w:t xml:space="preserve">-up-it. Mesatarja e </w:t>
      </w:r>
      <w:r>
        <w:rPr>
          <w:rFonts w:cstheme="minorHAnsi"/>
          <w:color w:val="000000"/>
          <w:sz w:val="24"/>
          <w:szCs w:val="24"/>
        </w:rPr>
        <w:t>folloë up-it</w:t>
      </w:r>
      <w:r w:rsidRPr="007F764F">
        <w:rPr>
          <w:rFonts w:cstheme="minorHAnsi"/>
          <w:color w:val="000000"/>
          <w:sz w:val="24"/>
          <w:szCs w:val="24"/>
        </w:rPr>
        <w:t xml:space="preserve"> ishte 0.5 deri në 0</w:t>
      </w:r>
      <w:r>
        <w:rPr>
          <w:rFonts w:cstheme="minorHAnsi"/>
          <w:color w:val="000000"/>
          <w:sz w:val="24"/>
          <w:szCs w:val="24"/>
        </w:rPr>
        <w:t>.6 vjet për të gjitha grupet e marra në studim</w:t>
      </w:r>
      <w:r w:rsidRPr="007F764F">
        <w:rPr>
          <w:rFonts w:cstheme="minorHAnsi"/>
          <w:color w:val="000000"/>
          <w:sz w:val="24"/>
          <w:szCs w:val="24"/>
        </w:rPr>
        <w:t>.(209)</w:t>
      </w:r>
    </w:p>
    <w:p w14:paraId="388CE4B7" w14:textId="77777777" w:rsidR="009E1860" w:rsidRPr="007F764F" w:rsidRDefault="009E1860" w:rsidP="009E1860">
      <w:pPr>
        <w:rPr>
          <w:rFonts w:cstheme="minorHAnsi"/>
          <w:color w:val="000000"/>
          <w:sz w:val="24"/>
          <w:szCs w:val="24"/>
        </w:rPr>
      </w:pPr>
      <w:r w:rsidRPr="007F764F">
        <w:rPr>
          <w:rFonts w:cstheme="minorHAnsi"/>
          <w:color w:val="000000"/>
          <w:sz w:val="24"/>
          <w:szCs w:val="24"/>
        </w:rPr>
        <w:t>Duke përdorur regresionin Cox</w:t>
      </w:r>
      <w:r>
        <w:rPr>
          <w:rFonts w:cstheme="minorHAnsi"/>
          <w:color w:val="000000"/>
          <w:sz w:val="24"/>
          <w:szCs w:val="24"/>
        </w:rPr>
        <w:t xml:space="preserve"> (metode statistikore)</w:t>
      </w:r>
      <w:r w:rsidRPr="007F764F">
        <w:rPr>
          <w:rFonts w:cstheme="minorHAnsi"/>
          <w:color w:val="000000"/>
          <w:sz w:val="24"/>
          <w:szCs w:val="24"/>
        </w:rPr>
        <w:t>, as apixaban dhe as dabig</w:t>
      </w:r>
      <w:r>
        <w:rPr>
          <w:rFonts w:cstheme="minorHAnsi"/>
          <w:color w:val="000000"/>
          <w:sz w:val="24"/>
          <w:szCs w:val="24"/>
        </w:rPr>
        <w:t>atran nuk reduktuan objektivin p</w:t>
      </w:r>
      <w:r w:rsidRPr="007F764F">
        <w:rPr>
          <w:rFonts w:cstheme="minorHAnsi"/>
          <w:color w:val="000000"/>
          <w:sz w:val="24"/>
          <w:szCs w:val="24"/>
        </w:rPr>
        <w:t xml:space="preserve">ërfundimtar të studimit që ishin ngjarjet e kombinuara të </w:t>
      </w:r>
      <w:r>
        <w:rPr>
          <w:rFonts w:cstheme="minorHAnsi"/>
          <w:color w:val="000000"/>
          <w:sz w:val="24"/>
          <w:szCs w:val="24"/>
        </w:rPr>
        <w:t>insultit</w:t>
      </w:r>
      <w:r w:rsidRPr="007F764F">
        <w:rPr>
          <w:rFonts w:cstheme="minorHAnsi"/>
          <w:color w:val="000000"/>
          <w:sz w:val="24"/>
          <w:szCs w:val="24"/>
        </w:rPr>
        <w:t xml:space="preserve"> ishemik ose hemorragjisë intrakraniale (raporti i rrezikut [HR], 0.70; 95% intervali i besimit [CI], 0.33-1.48 dhe HR, 0.53; 95% CI, 0,26-1,07) dhe patën një efekt jo të rëndësishëm në riskun e hemorragjisë madhore (HR, 0,79; 95% CI, 0,38-1,64 dhe HR, 0,58; 95% CI, 0,26-1,27) kundrejt </w:t>
      </w:r>
      <w:r>
        <w:rPr>
          <w:rFonts w:cstheme="minorHAnsi"/>
          <w:color w:val="000000"/>
          <w:sz w:val="24"/>
          <w:szCs w:val="24"/>
        </w:rPr>
        <w:t>varf</w:t>
      </w:r>
      <w:r w:rsidRPr="007F764F">
        <w:rPr>
          <w:rFonts w:cstheme="minorHAnsi"/>
          <w:color w:val="000000"/>
          <w:sz w:val="24"/>
          <w:szCs w:val="24"/>
        </w:rPr>
        <w:t>arinës. Rivaroxaban reduktoi objektivin përfundimtar të studimit që ishin ngjarjet e kombinuara të goditjes ishemike ose hemorragjisë</w:t>
      </w:r>
      <w:r>
        <w:rPr>
          <w:rFonts w:cstheme="minorHAnsi"/>
          <w:color w:val="000000"/>
          <w:sz w:val="24"/>
          <w:szCs w:val="24"/>
        </w:rPr>
        <w:t xml:space="preserve"> intrakraniale</w:t>
      </w:r>
      <w:r w:rsidRPr="007F764F">
        <w:rPr>
          <w:rFonts w:cstheme="minorHAnsi"/>
          <w:color w:val="000000"/>
          <w:sz w:val="24"/>
          <w:szCs w:val="24"/>
        </w:rPr>
        <w:t xml:space="preserve"> (HR, 0.45; 95% CI, 0.29-0.72) pa një efekt në hemorragjinë</w:t>
      </w:r>
      <w:r>
        <w:rPr>
          <w:rFonts w:cstheme="minorHAnsi"/>
          <w:color w:val="000000"/>
          <w:sz w:val="24"/>
          <w:szCs w:val="24"/>
        </w:rPr>
        <w:t xml:space="preserve"> madhore (HR, 1.07; 95% CI, 0.71-1.61). H</w:t>
      </w:r>
      <w:r w:rsidRPr="007F764F">
        <w:rPr>
          <w:rFonts w:cstheme="minorHAnsi"/>
          <w:color w:val="000000"/>
          <w:sz w:val="24"/>
          <w:szCs w:val="24"/>
        </w:rPr>
        <w:t xml:space="preserve">emorragjia intrakraniale ndodhi </w:t>
      </w:r>
      <w:r>
        <w:rPr>
          <w:rFonts w:cstheme="minorHAnsi"/>
          <w:color w:val="000000"/>
          <w:sz w:val="24"/>
          <w:szCs w:val="24"/>
        </w:rPr>
        <w:t>në shkallë</w:t>
      </w:r>
      <w:r w:rsidRPr="007F764F">
        <w:rPr>
          <w:rFonts w:cstheme="minorHAnsi"/>
          <w:color w:val="000000"/>
          <w:sz w:val="24"/>
          <w:szCs w:val="24"/>
        </w:rPr>
        <w:t xml:space="preserve"> 0,16 deri në 0,61 ngjarje për 100 person</w:t>
      </w:r>
      <w:r>
        <w:rPr>
          <w:rFonts w:cstheme="minorHAnsi"/>
          <w:color w:val="000000"/>
          <w:sz w:val="24"/>
          <w:szCs w:val="24"/>
        </w:rPr>
        <w:t>a</w:t>
      </w:r>
      <w:r w:rsidRPr="007F764F">
        <w:rPr>
          <w:rFonts w:cstheme="minorHAnsi"/>
          <w:color w:val="000000"/>
          <w:sz w:val="24"/>
          <w:szCs w:val="24"/>
        </w:rPr>
        <w:t>-v</w:t>
      </w:r>
      <w:r>
        <w:rPr>
          <w:rFonts w:cstheme="minorHAnsi"/>
          <w:color w:val="000000"/>
          <w:sz w:val="24"/>
          <w:szCs w:val="24"/>
        </w:rPr>
        <w:t>ite</w:t>
      </w:r>
      <w:r w:rsidRPr="007F764F">
        <w:rPr>
          <w:rFonts w:cstheme="minorHAnsi"/>
          <w:color w:val="000000"/>
          <w:sz w:val="24"/>
          <w:szCs w:val="24"/>
        </w:rPr>
        <w:t xml:space="preserve"> në 3 analizat</w:t>
      </w:r>
      <w:r>
        <w:rPr>
          <w:rFonts w:cstheme="minorHAnsi"/>
          <w:color w:val="000000"/>
          <w:sz w:val="24"/>
          <w:szCs w:val="24"/>
        </w:rPr>
        <w:t xml:space="preserve"> e</w:t>
      </w:r>
      <w:r w:rsidRPr="007F764F">
        <w:rPr>
          <w:rFonts w:cstheme="minorHAnsi"/>
          <w:color w:val="000000"/>
          <w:sz w:val="24"/>
          <w:szCs w:val="24"/>
        </w:rPr>
        <w:t xml:space="preserve"> NOAC, pa asnjë ndryshim domethënës për çdo NOAC kundrejt </w:t>
      </w:r>
      <w:r>
        <w:rPr>
          <w:rFonts w:cstheme="minorHAnsi"/>
          <w:color w:val="000000"/>
          <w:sz w:val="24"/>
          <w:szCs w:val="24"/>
        </w:rPr>
        <w:t>varf</w:t>
      </w:r>
      <w:r w:rsidRPr="007F764F">
        <w:rPr>
          <w:rFonts w:cstheme="minorHAnsi"/>
          <w:color w:val="000000"/>
          <w:sz w:val="24"/>
          <w:szCs w:val="24"/>
        </w:rPr>
        <w:t>arinës.</w:t>
      </w:r>
      <w:r>
        <w:rPr>
          <w:rFonts w:cstheme="minorHAnsi"/>
          <w:color w:val="000000"/>
          <w:sz w:val="24"/>
          <w:szCs w:val="24"/>
        </w:rPr>
        <w:t xml:space="preserve"> </w:t>
      </w:r>
      <w:r w:rsidRPr="007F764F">
        <w:rPr>
          <w:rFonts w:cstheme="minorHAnsi"/>
          <w:color w:val="000000"/>
          <w:sz w:val="24"/>
          <w:szCs w:val="24"/>
        </w:rPr>
        <w:t>(209)</w:t>
      </w:r>
    </w:p>
    <w:p w14:paraId="102F00EC" w14:textId="77777777" w:rsidR="009E1860" w:rsidRDefault="009E1860" w:rsidP="009E1860">
      <w:pPr>
        <w:rPr>
          <w:rFonts w:cstheme="minorHAnsi"/>
          <w:color w:val="000000"/>
          <w:sz w:val="24"/>
          <w:szCs w:val="24"/>
        </w:rPr>
      </w:pPr>
      <w:r>
        <w:rPr>
          <w:rFonts w:cstheme="minorHAnsi"/>
          <w:color w:val="000000"/>
          <w:sz w:val="24"/>
          <w:szCs w:val="24"/>
        </w:rPr>
        <w:t>Rezultatet nga studimi i 3 NOAC-ëve</w:t>
      </w:r>
      <w:r w:rsidRPr="007F764F">
        <w:rPr>
          <w:rFonts w:cstheme="minorHAnsi"/>
          <w:color w:val="000000"/>
          <w:sz w:val="24"/>
          <w:szCs w:val="24"/>
        </w:rPr>
        <w:t xml:space="preserve"> kundrejt </w:t>
      </w:r>
      <w:r>
        <w:rPr>
          <w:rFonts w:cstheme="minorHAnsi"/>
          <w:color w:val="000000"/>
          <w:sz w:val="24"/>
          <w:szCs w:val="24"/>
        </w:rPr>
        <w:t>varf</w:t>
      </w:r>
      <w:r w:rsidRPr="007F764F">
        <w:rPr>
          <w:rFonts w:cstheme="minorHAnsi"/>
          <w:color w:val="000000"/>
          <w:sz w:val="24"/>
          <w:szCs w:val="24"/>
        </w:rPr>
        <w:t>arinës në pacientët me fibrilacion atrial jo</w:t>
      </w:r>
      <w:r>
        <w:rPr>
          <w:rFonts w:cstheme="minorHAnsi"/>
          <w:color w:val="000000"/>
          <w:sz w:val="24"/>
          <w:szCs w:val="24"/>
        </w:rPr>
        <w:t>-</w:t>
      </w:r>
      <w:r w:rsidRPr="007F764F">
        <w:rPr>
          <w:rFonts w:cstheme="minorHAnsi"/>
          <w:color w:val="000000"/>
          <w:sz w:val="24"/>
          <w:szCs w:val="24"/>
        </w:rPr>
        <w:t xml:space="preserve">valvular me një histori </w:t>
      </w:r>
      <w:r>
        <w:rPr>
          <w:rFonts w:cstheme="minorHAnsi"/>
          <w:color w:val="000000"/>
          <w:sz w:val="24"/>
          <w:szCs w:val="24"/>
        </w:rPr>
        <w:t>të mëparshme të insultit/atakut</w:t>
      </w:r>
      <w:r w:rsidRPr="007F764F">
        <w:rPr>
          <w:rFonts w:cstheme="minorHAnsi"/>
          <w:color w:val="000000"/>
          <w:sz w:val="24"/>
          <w:szCs w:val="24"/>
        </w:rPr>
        <w:t xml:space="preserve"> ishemik tranzitor janë relativisht në përputhje me studimet e tyre përkatëse të fazës III dhe analizat e mëparshme të nëngrupeve të pacientëve me </w:t>
      </w:r>
      <w:r>
        <w:rPr>
          <w:rFonts w:cstheme="minorHAnsi"/>
          <w:color w:val="000000"/>
          <w:sz w:val="24"/>
          <w:szCs w:val="24"/>
        </w:rPr>
        <w:t>insult</w:t>
      </w:r>
      <w:r w:rsidRPr="007F764F">
        <w:rPr>
          <w:rFonts w:cstheme="minorHAnsi"/>
          <w:color w:val="000000"/>
          <w:sz w:val="24"/>
          <w:szCs w:val="24"/>
        </w:rPr>
        <w:t>/a</w:t>
      </w:r>
      <w:r>
        <w:rPr>
          <w:rFonts w:cstheme="minorHAnsi"/>
          <w:color w:val="000000"/>
          <w:sz w:val="24"/>
          <w:szCs w:val="24"/>
        </w:rPr>
        <w:t xml:space="preserve">tak ishemik tranzitor të mëparshëm. Të gjithë NOAC-ët </w:t>
      </w:r>
      <w:r w:rsidRPr="007F764F">
        <w:rPr>
          <w:rFonts w:cstheme="minorHAnsi"/>
          <w:color w:val="000000"/>
          <w:sz w:val="24"/>
          <w:szCs w:val="24"/>
        </w:rPr>
        <w:t xml:space="preserve">nuk ishin më keq se </w:t>
      </w:r>
      <w:r>
        <w:rPr>
          <w:rFonts w:cstheme="minorHAnsi"/>
          <w:color w:val="000000"/>
          <w:sz w:val="24"/>
          <w:szCs w:val="24"/>
        </w:rPr>
        <w:t>varf</w:t>
      </w:r>
      <w:r w:rsidRPr="007F764F">
        <w:rPr>
          <w:rFonts w:cstheme="minorHAnsi"/>
          <w:color w:val="000000"/>
          <w:sz w:val="24"/>
          <w:szCs w:val="24"/>
        </w:rPr>
        <w:t xml:space="preserve">arina në lidhje me </w:t>
      </w:r>
      <w:r>
        <w:rPr>
          <w:rFonts w:cstheme="minorHAnsi"/>
          <w:color w:val="000000"/>
          <w:sz w:val="24"/>
          <w:szCs w:val="24"/>
        </w:rPr>
        <w:t xml:space="preserve">insultin </w:t>
      </w:r>
      <w:r w:rsidRPr="007F764F">
        <w:rPr>
          <w:rFonts w:cstheme="minorHAnsi"/>
          <w:color w:val="000000"/>
          <w:sz w:val="24"/>
          <w:szCs w:val="24"/>
        </w:rPr>
        <w:t>ishemik</w:t>
      </w:r>
      <w:r>
        <w:rPr>
          <w:rFonts w:cstheme="minorHAnsi"/>
          <w:color w:val="000000"/>
          <w:sz w:val="24"/>
          <w:szCs w:val="24"/>
        </w:rPr>
        <w:t xml:space="preserve"> cerebral</w:t>
      </w:r>
      <w:r w:rsidRPr="007F764F">
        <w:rPr>
          <w:rFonts w:cstheme="minorHAnsi"/>
          <w:color w:val="000000"/>
          <w:sz w:val="24"/>
          <w:szCs w:val="24"/>
        </w:rPr>
        <w:t>, hemorragjinë intrakraniale ose rrezikun për hemorragji madhore (209)</w:t>
      </w:r>
    </w:p>
    <w:p w14:paraId="7643194D" w14:textId="77777777" w:rsidR="009E1860" w:rsidRDefault="009E1860" w:rsidP="009E1860">
      <w:pPr>
        <w:rPr>
          <w:rFonts w:cstheme="minorHAnsi"/>
          <w:color w:val="000000"/>
          <w:sz w:val="24"/>
          <w:szCs w:val="24"/>
        </w:rPr>
      </w:pPr>
    </w:p>
    <w:p w14:paraId="072E8853" w14:textId="77777777" w:rsidR="009E1860" w:rsidRDefault="009E1860" w:rsidP="009E1860">
      <w:pPr>
        <w:rPr>
          <w:b/>
          <w:bCs/>
          <w:sz w:val="28"/>
          <w:szCs w:val="28"/>
        </w:rPr>
      </w:pPr>
    </w:p>
    <w:p w14:paraId="1F309A9E" w14:textId="77777777" w:rsidR="009E1860" w:rsidRDefault="009E1860" w:rsidP="009E1860">
      <w:pPr>
        <w:rPr>
          <w:b/>
          <w:bCs/>
          <w:sz w:val="28"/>
          <w:szCs w:val="28"/>
        </w:rPr>
      </w:pPr>
    </w:p>
    <w:p w14:paraId="26A8574C" w14:textId="77777777" w:rsidR="009E1860" w:rsidRDefault="009E1860" w:rsidP="009E1860">
      <w:pPr>
        <w:rPr>
          <w:b/>
          <w:bCs/>
          <w:sz w:val="28"/>
          <w:szCs w:val="28"/>
        </w:rPr>
      </w:pPr>
    </w:p>
    <w:p w14:paraId="2329C56B" w14:textId="77777777" w:rsidR="009E1860" w:rsidRDefault="009E1860" w:rsidP="009E1860">
      <w:pPr>
        <w:rPr>
          <w:b/>
          <w:bCs/>
          <w:sz w:val="28"/>
          <w:szCs w:val="28"/>
        </w:rPr>
      </w:pPr>
    </w:p>
    <w:p w14:paraId="1487664D" w14:textId="77777777" w:rsidR="009E1860" w:rsidRDefault="009E1860" w:rsidP="009E1860">
      <w:pPr>
        <w:rPr>
          <w:b/>
          <w:bCs/>
          <w:sz w:val="28"/>
          <w:szCs w:val="28"/>
        </w:rPr>
      </w:pPr>
      <w:r>
        <w:rPr>
          <w:b/>
          <w:bCs/>
          <w:sz w:val="28"/>
          <w:szCs w:val="28"/>
        </w:rPr>
        <w:t xml:space="preserve">Kapitulli 4: </w:t>
      </w:r>
      <w:r w:rsidRPr="00834918">
        <w:rPr>
          <w:b/>
          <w:bCs/>
          <w:sz w:val="28"/>
          <w:szCs w:val="28"/>
        </w:rPr>
        <w:t>Aspekte t</w:t>
      </w:r>
      <w:r>
        <w:rPr>
          <w:b/>
          <w:bCs/>
          <w:sz w:val="28"/>
          <w:szCs w:val="28"/>
        </w:rPr>
        <w:t>ë</w:t>
      </w:r>
      <w:r w:rsidRPr="00834918">
        <w:rPr>
          <w:b/>
          <w:bCs/>
          <w:sz w:val="28"/>
          <w:szCs w:val="28"/>
        </w:rPr>
        <w:t xml:space="preserve"> tjera praktike t</w:t>
      </w:r>
      <w:r>
        <w:rPr>
          <w:b/>
          <w:bCs/>
          <w:sz w:val="28"/>
          <w:szCs w:val="28"/>
        </w:rPr>
        <w:t>ë</w:t>
      </w:r>
      <w:r w:rsidRPr="00834918">
        <w:rPr>
          <w:b/>
          <w:bCs/>
          <w:sz w:val="28"/>
          <w:szCs w:val="28"/>
        </w:rPr>
        <w:t xml:space="preserve"> p</w:t>
      </w:r>
      <w:r>
        <w:rPr>
          <w:b/>
          <w:bCs/>
          <w:sz w:val="28"/>
          <w:szCs w:val="28"/>
        </w:rPr>
        <w:t>ë</w:t>
      </w:r>
      <w:r w:rsidRPr="00834918">
        <w:rPr>
          <w:b/>
          <w:bCs/>
          <w:sz w:val="28"/>
          <w:szCs w:val="28"/>
        </w:rPr>
        <w:t>rdorimit klinik t</w:t>
      </w:r>
      <w:r>
        <w:rPr>
          <w:b/>
          <w:bCs/>
          <w:sz w:val="28"/>
          <w:szCs w:val="28"/>
        </w:rPr>
        <w:t>ë</w:t>
      </w:r>
      <w:r w:rsidRPr="00834918">
        <w:rPr>
          <w:b/>
          <w:bCs/>
          <w:sz w:val="28"/>
          <w:szCs w:val="28"/>
        </w:rPr>
        <w:t xml:space="preserve"> NOAC-</w:t>
      </w:r>
      <w:r>
        <w:rPr>
          <w:b/>
          <w:bCs/>
          <w:sz w:val="28"/>
          <w:szCs w:val="28"/>
        </w:rPr>
        <w:t>ë</w:t>
      </w:r>
      <w:r w:rsidRPr="00834918">
        <w:rPr>
          <w:b/>
          <w:bCs/>
          <w:sz w:val="28"/>
          <w:szCs w:val="28"/>
        </w:rPr>
        <w:t>ve sipas Udh</w:t>
      </w:r>
      <w:r>
        <w:rPr>
          <w:b/>
          <w:bCs/>
          <w:sz w:val="28"/>
          <w:szCs w:val="28"/>
        </w:rPr>
        <w:t>ë</w:t>
      </w:r>
      <w:r w:rsidRPr="00834918">
        <w:rPr>
          <w:b/>
          <w:bCs/>
          <w:sz w:val="28"/>
          <w:szCs w:val="28"/>
        </w:rPr>
        <w:t>zuesit Praktik 2021 t</w:t>
      </w:r>
      <w:r>
        <w:rPr>
          <w:b/>
          <w:bCs/>
          <w:sz w:val="28"/>
          <w:szCs w:val="28"/>
        </w:rPr>
        <w:t>ë</w:t>
      </w:r>
      <w:r w:rsidRPr="00834918">
        <w:rPr>
          <w:b/>
          <w:bCs/>
          <w:sz w:val="28"/>
          <w:szCs w:val="28"/>
        </w:rPr>
        <w:t xml:space="preserve"> Shoqat</w:t>
      </w:r>
      <w:r>
        <w:rPr>
          <w:b/>
          <w:bCs/>
          <w:sz w:val="28"/>
          <w:szCs w:val="28"/>
        </w:rPr>
        <w:t>ë</w:t>
      </w:r>
      <w:r w:rsidRPr="00834918">
        <w:rPr>
          <w:b/>
          <w:bCs/>
          <w:sz w:val="28"/>
          <w:szCs w:val="28"/>
        </w:rPr>
        <w:t>s Evropiane t</w:t>
      </w:r>
      <w:r>
        <w:rPr>
          <w:b/>
          <w:bCs/>
          <w:sz w:val="28"/>
          <w:szCs w:val="28"/>
        </w:rPr>
        <w:t>ë</w:t>
      </w:r>
      <w:r w:rsidRPr="00834918">
        <w:rPr>
          <w:b/>
          <w:bCs/>
          <w:sz w:val="28"/>
          <w:szCs w:val="28"/>
        </w:rPr>
        <w:t xml:space="preserve"> Ritmit t</w:t>
      </w:r>
      <w:r>
        <w:rPr>
          <w:b/>
          <w:bCs/>
          <w:sz w:val="28"/>
          <w:szCs w:val="28"/>
        </w:rPr>
        <w:t>ë</w:t>
      </w:r>
      <w:r w:rsidRPr="00834918">
        <w:rPr>
          <w:b/>
          <w:bCs/>
          <w:sz w:val="28"/>
          <w:szCs w:val="28"/>
        </w:rPr>
        <w:t xml:space="preserve"> Zemr</w:t>
      </w:r>
      <w:r>
        <w:rPr>
          <w:b/>
          <w:bCs/>
          <w:sz w:val="28"/>
          <w:szCs w:val="28"/>
        </w:rPr>
        <w:t>ë</w:t>
      </w:r>
      <w:r w:rsidRPr="00834918">
        <w:rPr>
          <w:b/>
          <w:bCs/>
          <w:sz w:val="28"/>
          <w:szCs w:val="28"/>
        </w:rPr>
        <w:t>s</w:t>
      </w:r>
      <w:r w:rsidRPr="003D2CF0">
        <w:rPr>
          <w:b/>
          <w:bCs/>
          <w:sz w:val="28"/>
          <w:szCs w:val="28"/>
          <w:vertAlign w:val="superscript"/>
        </w:rPr>
        <w:t>128</w:t>
      </w:r>
    </w:p>
    <w:p w14:paraId="296C55F1" w14:textId="77777777" w:rsidR="009E1860" w:rsidRDefault="009E1860" w:rsidP="009E1860">
      <w:pPr>
        <w:rPr>
          <w:b/>
          <w:bCs/>
          <w:sz w:val="28"/>
          <w:szCs w:val="28"/>
        </w:rPr>
      </w:pPr>
    </w:p>
    <w:p w14:paraId="3C29BA58" w14:textId="77777777" w:rsidR="009E1860" w:rsidRPr="00890F8C" w:rsidRDefault="009E1860" w:rsidP="009E1860">
      <w:pPr>
        <w:rPr>
          <w:b/>
          <w:bCs/>
          <w:sz w:val="24"/>
          <w:szCs w:val="24"/>
        </w:rPr>
      </w:pPr>
      <w:r w:rsidRPr="00890F8C">
        <w:rPr>
          <w:b/>
          <w:bCs/>
          <w:sz w:val="24"/>
          <w:szCs w:val="24"/>
        </w:rPr>
        <w:t>4.1 Në cilat forma të fibrilacionit atrial indikohen NOAC-ët</w:t>
      </w:r>
    </w:p>
    <w:p w14:paraId="27DE99DD" w14:textId="77777777" w:rsidR="009E1860" w:rsidRDefault="009E1860" w:rsidP="009E1860">
      <w:pPr>
        <w:ind w:firstLine="720"/>
        <w:rPr>
          <w:sz w:val="24"/>
          <w:szCs w:val="24"/>
        </w:rPr>
      </w:pPr>
      <w:r>
        <w:rPr>
          <w:sz w:val="24"/>
          <w:szCs w:val="24"/>
        </w:rPr>
        <w:t>NOAC-ët janë miratuar për parandalimin e insultit cerebral në pacientët me fibrilacion atrial jo-valvular. Në autorizimin e tyre për tregtim specifikohet se përshkrimi duhet bërë mbi bazën e rezultatit CHADS</w:t>
      </w:r>
      <w:r w:rsidRPr="000C0908">
        <w:rPr>
          <w:sz w:val="24"/>
          <w:szCs w:val="24"/>
          <w:vertAlign w:val="subscript"/>
        </w:rPr>
        <w:t>2</w:t>
      </w:r>
      <w:r>
        <w:rPr>
          <w:sz w:val="24"/>
          <w:szCs w:val="24"/>
        </w:rPr>
        <w:t xml:space="preserve"> score pasi ky sistem pikëzimi është përdorur në studimet klinike të rastësishme të fazës III. Duke pasur parasysh efikasitetin dhe sigurinë që këto barna treguan ndër vite, indikacionet për terapinë me NOAC janë zgjeruar më pas tek pacientët që kualifikohen për antikoagulim sipas rezultatit CHA</w:t>
      </w:r>
      <w:r w:rsidRPr="00D118EA">
        <w:rPr>
          <w:sz w:val="24"/>
          <w:szCs w:val="24"/>
          <w:vertAlign w:val="subscript"/>
        </w:rPr>
        <w:t>2</w:t>
      </w:r>
      <w:r>
        <w:rPr>
          <w:sz w:val="24"/>
          <w:szCs w:val="24"/>
        </w:rPr>
        <w:t>DS</w:t>
      </w:r>
      <w:r w:rsidRPr="00D118EA">
        <w:rPr>
          <w:sz w:val="24"/>
          <w:szCs w:val="24"/>
          <w:vertAlign w:val="subscript"/>
        </w:rPr>
        <w:t>2</w:t>
      </w:r>
      <w:r>
        <w:rPr>
          <w:sz w:val="24"/>
          <w:szCs w:val="24"/>
        </w:rPr>
        <w:t>-VASc score, me disa dallime rajonale (p.sh. në Kanada dhe Japoni vazhdon të përdoret</w:t>
      </w:r>
      <w:r w:rsidRPr="0003384A">
        <w:rPr>
          <w:sz w:val="24"/>
          <w:szCs w:val="24"/>
        </w:rPr>
        <w:t xml:space="preserve"> </w:t>
      </w:r>
      <w:r>
        <w:rPr>
          <w:sz w:val="24"/>
          <w:szCs w:val="24"/>
        </w:rPr>
        <w:t>CHADS</w:t>
      </w:r>
      <w:r w:rsidRPr="000C0908">
        <w:rPr>
          <w:sz w:val="24"/>
          <w:szCs w:val="24"/>
          <w:vertAlign w:val="subscript"/>
        </w:rPr>
        <w:t>2</w:t>
      </w:r>
      <w:r>
        <w:rPr>
          <w:sz w:val="24"/>
          <w:szCs w:val="24"/>
        </w:rPr>
        <w:t xml:space="preserve"> score). (Se </w:t>
      </w:r>
      <w:r>
        <w:rPr>
          <w:rFonts w:cstheme="minorHAnsi"/>
          <w:sz w:val="24"/>
          <w:szCs w:val="24"/>
        </w:rPr>
        <w:t>ç</w:t>
      </w:r>
      <w:r>
        <w:rPr>
          <w:sz w:val="24"/>
          <w:szCs w:val="24"/>
        </w:rPr>
        <w:t xml:space="preserve">farë janë sistemet e pikëzimit </w:t>
      </w:r>
      <w:r w:rsidRPr="00EB5EE5">
        <w:rPr>
          <w:sz w:val="24"/>
          <w:szCs w:val="24"/>
        </w:rPr>
        <w:t>CHADS</w:t>
      </w:r>
      <w:r w:rsidRPr="00EB5EE5">
        <w:rPr>
          <w:sz w:val="24"/>
          <w:szCs w:val="24"/>
          <w:vertAlign w:val="subscript"/>
        </w:rPr>
        <w:t>2</w:t>
      </w:r>
      <w:r>
        <w:rPr>
          <w:sz w:val="24"/>
          <w:szCs w:val="24"/>
        </w:rPr>
        <w:t xml:space="preserve"> dhe </w:t>
      </w:r>
      <w:r w:rsidRPr="00EB5EE5">
        <w:rPr>
          <w:sz w:val="24"/>
          <w:szCs w:val="24"/>
        </w:rPr>
        <w:t>CHA2DS2-VASc score</w:t>
      </w:r>
      <w:r>
        <w:rPr>
          <w:sz w:val="24"/>
          <w:szCs w:val="24"/>
        </w:rPr>
        <w:t xml:space="preserve"> dhe përse përdoren, shikoni paragrafin 2.1.1).</w:t>
      </w:r>
    </w:p>
    <w:p w14:paraId="21C1693C" w14:textId="77777777" w:rsidR="009E1860" w:rsidRDefault="009E1860" w:rsidP="009E1860">
      <w:pPr>
        <w:ind w:firstLine="720"/>
        <w:rPr>
          <w:b/>
          <w:bCs/>
          <w:i/>
          <w:iCs/>
          <w:sz w:val="24"/>
          <w:szCs w:val="24"/>
        </w:rPr>
      </w:pPr>
      <w:r>
        <w:rPr>
          <w:sz w:val="24"/>
          <w:szCs w:val="24"/>
        </w:rPr>
        <w:t xml:space="preserve">Por </w:t>
      </w:r>
      <w:r>
        <w:rPr>
          <w:rFonts w:cstheme="minorHAnsi"/>
          <w:sz w:val="24"/>
          <w:szCs w:val="24"/>
        </w:rPr>
        <w:t>ç</w:t>
      </w:r>
      <w:r>
        <w:rPr>
          <w:sz w:val="24"/>
          <w:szCs w:val="24"/>
        </w:rPr>
        <w:t xml:space="preserve">farë do të konsiderohet </w:t>
      </w:r>
      <w:r w:rsidRPr="00D11A92">
        <w:rPr>
          <w:b/>
          <w:bCs/>
          <w:i/>
          <w:iCs/>
          <w:sz w:val="24"/>
          <w:szCs w:val="24"/>
        </w:rPr>
        <w:t>fibrilacion atri</w:t>
      </w:r>
      <w:r>
        <w:rPr>
          <w:b/>
          <w:bCs/>
          <w:i/>
          <w:iCs/>
          <w:sz w:val="24"/>
          <w:szCs w:val="24"/>
        </w:rPr>
        <w:t>al</w:t>
      </w:r>
      <w:r w:rsidRPr="00D11A92">
        <w:rPr>
          <w:b/>
          <w:bCs/>
          <w:i/>
          <w:iCs/>
          <w:sz w:val="24"/>
          <w:szCs w:val="24"/>
        </w:rPr>
        <w:t xml:space="preserve"> jo-valvular</w:t>
      </w:r>
      <w:r>
        <w:rPr>
          <w:b/>
          <w:bCs/>
          <w:i/>
          <w:iCs/>
          <w:sz w:val="24"/>
          <w:szCs w:val="24"/>
        </w:rPr>
        <w:t>?</w:t>
      </w:r>
    </w:p>
    <w:p w14:paraId="13EEF43F" w14:textId="77777777" w:rsidR="009E1860" w:rsidRDefault="009E1860" w:rsidP="009E1860">
      <w:pPr>
        <w:ind w:firstLine="720"/>
        <w:rPr>
          <w:sz w:val="24"/>
          <w:szCs w:val="24"/>
        </w:rPr>
      </w:pPr>
      <w:r w:rsidRPr="00D11A92">
        <w:rPr>
          <w:sz w:val="24"/>
          <w:szCs w:val="24"/>
        </w:rPr>
        <w:t>Me termin 'fibrilacion atrial jo-valvular' do t</w:t>
      </w:r>
      <w:r>
        <w:rPr>
          <w:sz w:val="24"/>
          <w:szCs w:val="24"/>
        </w:rPr>
        <w:t>ë</w:t>
      </w:r>
      <w:r w:rsidRPr="00D11A92">
        <w:rPr>
          <w:sz w:val="24"/>
          <w:szCs w:val="24"/>
        </w:rPr>
        <w:t xml:space="preserve"> kuptojm</w:t>
      </w:r>
      <w:r>
        <w:rPr>
          <w:sz w:val="24"/>
          <w:szCs w:val="24"/>
        </w:rPr>
        <w:t>ë</w:t>
      </w:r>
      <w:r w:rsidRPr="00D11A92">
        <w:rPr>
          <w:sz w:val="24"/>
          <w:szCs w:val="24"/>
        </w:rPr>
        <w:t xml:space="preserve"> fibrilacionin atrial në mungesë të valvulave mekanike protetike të zemrës ose</w:t>
      </w:r>
      <w:r>
        <w:rPr>
          <w:sz w:val="24"/>
          <w:szCs w:val="24"/>
        </w:rPr>
        <w:t xml:space="preserve"> stenozës mitrale të moderuar deri në të rëndë. </w:t>
      </w:r>
      <w:r w:rsidRPr="00D11A92">
        <w:rPr>
          <w:sz w:val="24"/>
          <w:szCs w:val="24"/>
        </w:rPr>
        <w:t xml:space="preserve"> </w:t>
      </w:r>
    </w:p>
    <w:p w14:paraId="511CD95F" w14:textId="77777777" w:rsidR="009E1860" w:rsidRPr="00190C9D" w:rsidRDefault="009E1860" w:rsidP="009E1860">
      <w:pPr>
        <w:ind w:firstLine="720"/>
        <w:rPr>
          <w:sz w:val="24"/>
          <w:szCs w:val="24"/>
        </w:rPr>
      </w:pPr>
      <w:r>
        <w:rPr>
          <w:sz w:val="24"/>
          <w:szCs w:val="24"/>
        </w:rPr>
        <w:t>Pra praktikisht, NOAC-ët mund të përdoren në të gjitha format e fibrilacionit atrial, përve</w:t>
      </w:r>
      <w:r>
        <w:rPr>
          <w:rFonts w:cstheme="minorHAnsi"/>
          <w:sz w:val="24"/>
          <w:szCs w:val="24"/>
        </w:rPr>
        <w:t>ç</w:t>
      </w:r>
      <w:r>
        <w:rPr>
          <w:sz w:val="24"/>
          <w:szCs w:val="24"/>
        </w:rPr>
        <w:t xml:space="preserve"> atij në prani </w:t>
      </w:r>
      <w:r w:rsidRPr="001D0132">
        <w:rPr>
          <w:i/>
          <w:iCs/>
          <w:sz w:val="24"/>
          <w:szCs w:val="24"/>
        </w:rPr>
        <w:t>t</w:t>
      </w:r>
      <w:r>
        <w:rPr>
          <w:i/>
          <w:iCs/>
          <w:sz w:val="24"/>
          <w:szCs w:val="24"/>
        </w:rPr>
        <w:t>ë</w:t>
      </w:r>
      <w:r w:rsidRPr="001D0132">
        <w:rPr>
          <w:i/>
          <w:iCs/>
          <w:sz w:val="24"/>
          <w:szCs w:val="24"/>
        </w:rPr>
        <w:t xml:space="preserve"> valvulave mekanike t</w:t>
      </w:r>
      <w:r>
        <w:rPr>
          <w:i/>
          <w:iCs/>
          <w:sz w:val="24"/>
          <w:szCs w:val="24"/>
        </w:rPr>
        <w:t>ë</w:t>
      </w:r>
      <w:r w:rsidRPr="001D0132">
        <w:rPr>
          <w:i/>
          <w:iCs/>
          <w:sz w:val="24"/>
          <w:szCs w:val="24"/>
        </w:rPr>
        <w:t xml:space="preserve"> zemr</w:t>
      </w:r>
      <w:r>
        <w:rPr>
          <w:i/>
          <w:iCs/>
          <w:sz w:val="24"/>
          <w:szCs w:val="24"/>
        </w:rPr>
        <w:t>ë</w:t>
      </w:r>
      <w:r w:rsidRPr="001D0132">
        <w:rPr>
          <w:i/>
          <w:iCs/>
          <w:sz w:val="24"/>
          <w:szCs w:val="24"/>
        </w:rPr>
        <w:t>s ose stenozës mitrale të moderuar deri në të rëndë (zakonisht me origjinë reumatike).</w:t>
      </w:r>
      <w:r>
        <w:rPr>
          <w:sz w:val="24"/>
          <w:szCs w:val="24"/>
        </w:rPr>
        <w:t xml:space="preserve"> Arsyeja se përse NOAC-ët nuk mund të përdoren tek pacientët me këto forma të fibrilacionit atrial ështe se këta pacientë u përjashtuan nga studimet e randomizuara të fazës së III mbi rezultatet e të cilëve NOAC-ët u autorizuan për t’u hedhur në treg (nga EMA, FDA etj.). </w:t>
      </w:r>
      <w:r w:rsidRPr="001D0132">
        <w:rPr>
          <w:sz w:val="24"/>
          <w:szCs w:val="24"/>
        </w:rPr>
        <w:t>Programi INVICTUS që heton përdorimin e antivitaminik</w:t>
      </w:r>
      <w:r>
        <w:rPr>
          <w:sz w:val="24"/>
          <w:szCs w:val="24"/>
        </w:rPr>
        <w:t>ë</w:t>
      </w:r>
      <w:r w:rsidRPr="001D0132">
        <w:rPr>
          <w:sz w:val="24"/>
          <w:szCs w:val="24"/>
        </w:rPr>
        <w:t>ve K, Rivaroxabanit ose Aspirin</w:t>
      </w:r>
      <w:r>
        <w:rPr>
          <w:sz w:val="24"/>
          <w:szCs w:val="24"/>
        </w:rPr>
        <w:t>ë</w:t>
      </w:r>
      <w:r w:rsidRPr="001D0132">
        <w:rPr>
          <w:sz w:val="24"/>
          <w:szCs w:val="24"/>
        </w:rPr>
        <w:t xml:space="preserve">s </w:t>
      </w:r>
      <w:r w:rsidRPr="001D0132">
        <w:rPr>
          <w:i/>
          <w:iCs/>
          <w:sz w:val="24"/>
          <w:szCs w:val="24"/>
        </w:rPr>
        <w:t>në pacientët me sëmundje reumatike të zemrës</w:t>
      </w:r>
      <w:r w:rsidRPr="001D0132">
        <w:rPr>
          <w:sz w:val="24"/>
          <w:szCs w:val="24"/>
        </w:rPr>
        <w:t xml:space="preserve"> është aktualisht në zhvillim e sipër (NCT02832531). Derisa të përfundojnë k</w:t>
      </w:r>
      <w:r>
        <w:rPr>
          <w:sz w:val="24"/>
          <w:szCs w:val="24"/>
        </w:rPr>
        <w:t xml:space="preserve">y studim </w:t>
      </w:r>
      <w:r w:rsidRPr="001D0132">
        <w:rPr>
          <w:sz w:val="24"/>
          <w:szCs w:val="24"/>
        </w:rPr>
        <w:t xml:space="preserve">dhe studime të tjera, pacientë të tillë duhet të trajtohen me </w:t>
      </w:r>
      <w:r>
        <w:rPr>
          <w:sz w:val="24"/>
          <w:szCs w:val="24"/>
        </w:rPr>
        <w:t>antivitaminikë K</w:t>
      </w:r>
      <w:r w:rsidRPr="001D0132">
        <w:rPr>
          <w:sz w:val="24"/>
          <w:szCs w:val="24"/>
        </w:rPr>
        <w:t xml:space="preserve"> si standard i kujdesit</w:t>
      </w:r>
      <w:r>
        <w:rPr>
          <w:sz w:val="24"/>
          <w:szCs w:val="24"/>
        </w:rPr>
        <w:t xml:space="preserve"> dhe përdorimi i NOAC-ëve mbetet off-label.</w:t>
      </w:r>
    </w:p>
    <w:p w14:paraId="5ACBEC19" w14:textId="77777777" w:rsidR="009E1860" w:rsidRDefault="009E1860" w:rsidP="009E1860">
      <w:pPr>
        <w:ind w:firstLine="720"/>
        <w:rPr>
          <w:sz w:val="24"/>
          <w:szCs w:val="24"/>
        </w:rPr>
      </w:pPr>
      <w:r>
        <w:rPr>
          <w:sz w:val="24"/>
          <w:szCs w:val="24"/>
        </w:rPr>
        <w:t>Megjithatë, nëse terapia me antivitaminikë K është vërtet e pamundur (p.sh. asnjë mjet monitorimi, INR e pastabilizuar, reaksione alergjike etj.) përdorimi i një NOAC mund të jetë një opsion që mjekët mund ta vlerësojnë me kujdes, në mungesë të alternativave të tjera të studiuara, të sigurta dhe efektive, pas dhënies së pëlqimit nga ana e pacientit për përdorimin off-label të barit.</w:t>
      </w:r>
    </w:p>
    <w:p w14:paraId="5C2D6C13" w14:textId="77777777" w:rsidR="009E1860" w:rsidRDefault="009E1860" w:rsidP="009E1860">
      <w:pPr>
        <w:rPr>
          <w:sz w:val="24"/>
          <w:szCs w:val="24"/>
        </w:rPr>
      </w:pPr>
      <w:r>
        <w:rPr>
          <w:sz w:val="24"/>
          <w:szCs w:val="24"/>
        </w:rPr>
        <w:t xml:space="preserve">Në të kundërt, për fibrilacionin atrial </w:t>
      </w:r>
      <w:r w:rsidRPr="001D0132">
        <w:rPr>
          <w:i/>
          <w:iCs/>
          <w:sz w:val="24"/>
          <w:szCs w:val="24"/>
        </w:rPr>
        <w:t>në kontekstin e valvulave mekanike të zemrës</w:t>
      </w:r>
      <w:r>
        <w:rPr>
          <w:sz w:val="24"/>
          <w:szCs w:val="24"/>
        </w:rPr>
        <w:t xml:space="preserve">, veçanërisht në situatat </w:t>
      </w:r>
      <w:r w:rsidRPr="001D0132">
        <w:rPr>
          <w:i/>
          <w:iCs/>
          <w:sz w:val="24"/>
          <w:szCs w:val="24"/>
        </w:rPr>
        <w:t>e zëvendësimit mekanik të valvulës mitrale</w:t>
      </w:r>
      <w:r>
        <w:rPr>
          <w:sz w:val="24"/>
          <w:szCs w:val="24"/>
        </w:rPr>
        <w:t>, terapia me NOAC duhet të përdoret. Ajo mund të përdoret në të ardhmen vetëm nëse studime të reja përmbysin të dhënat ekzistuese që NOAC-ët jenë inferiorë ndaj antivitaminikëve K për parandalimin e insultit cerebral tek këta pacientë.</w:t>
      </w:r>
    </w:p>
    <w:p w14:paraId="5597EB72" w14:textId="77777777" w:rsidR="009E1860" w:rsidRDefault="009E1860" w:rsidP="009E1860">
      <w:pPr>
        <w:rPr>
          <w:sz w:val="24"/>
          <w:szCs w:val="24"/>
        </w:rPr>
      </w:pPr>
      <w:r>
        <w:rPr>
          <w:sz w:val="24"/>
          <w:szCs w:val="24"/>
        </w:rPr>
        <w:t xml:space="preserve">Deri vonë, antikoagulimi oral në pacientët me fibrilacion atrial dhe </w:t>
      </w:r>
      <w:r w:rsidRPr="001D0132">
        <w:rPr>
          <w:i/>
          <w:iCs/>
          <w:sz w:val="24"/>
          <w:szCs w:val="24"/>
        </w:rPr>
        <w:t>valvula</w:t>
      </w:r>
      <w:r>
        <w:rPr>
          <w:i/>
          <w:iCs/>
          <w:sz w:val="24"/>
          <w:szCs w:val="24"/>
        </w:rPr>
        <w:t xml:space="preserve"> </w:t>
      </w:r>
      <w:r w:rsidRPr="001D0132">
        <w:rPr>
          <w:i/>
          <w:iCs/>
          <w:sz w:val="24"/>
          <w:szCs w:val="24"/>
        </w:rPr>
        <w:t>biologjike</w:t>
      </w:r>
      <w:r>
        <w:rPr>
          <w:sz w:val="24"/>
          <w:szCs w:val="24"/>
        </w:rPr>
        <w:t xml:space="preserve"> ose </w:t>
      </w:r>
      <w:r w:rsidRPr="001D0132">
        <w:rPr>
          <w:i/>
          <w:iCs/>
          <w:sz w:val="24"/>
          <w:szCs w:val="24"/>
        </w:rPr>
        <w:t>pas riparimit të valvulave</w:t>
      </w:r>
      <w:r>
        <w:rPr>
          <w:sz w:val="24"/>
          <w:szCs w:val="24"/>
        </w:rPr>
        <w:t xml:space="preserve"> përbënte një zonë gri, edhe pse këta pacientë u përfshinë në disa nga studimet historike të NOAC. Në studimin RIVER (Rivaroxaban for Valvular Heart Disease and Atrial Fibrillatio), i kryer </w:t>
      </w:r>
      <w:r w:rsidRPr="00EB5EE5">
        <w:rPr>
          <w:sz w:val="24"/>
          <w:szCs w:val="24"/>
        </w:rPr>
        <w:t>gjat</w:t>
      </w:r>
      <w:r>
        <w:rPr>
          <w:sz w:val="24"/>
          <w:szCs w:val="24"/>
        </w:rPr>
        <w:t>ë</w:t>
      </w:r>
      <w:r w:rsidRPr="00EB5EE5">
        <w:rPr>
          <w:sz w:val="24"/>
          <w:szCs w:val="24"/>
        </w:rPr>
        <w:t xml:space="preserve"> 12 muajve, në 1005 pacientët me fibrilacion atrial ose flutter dhe një valvul mitrale bioprotetike</w:t>
      </w:r>
      <w:r>
        <w:rPr>
          <w:sz w:val="24"/>
          <w:szCs w:val="24"/>
        </w:rPr>
        <w:t xml:space="preserve">, rivaroxaban </w:t>
      </w:r>
      <w:r w:rsidRPr="001D0132">
        <w:rPr>
          <w:i/>
          <w:iCs/>
          <w:sz w:val="24"/>
          <w:szCs w:val="24"/>
        </w:rPr>
        <w:t>ishte jo inferior ndaj varfarin</w:t>
      </w:r>
      <w:r>
        <w:rPr>
          <w:i/>
          <w:iCs/>
          <w:sz w:val="24"/>
          <w:szCs w:val="24"/>
        </w:rPr>
        <w:t>ës</w:t>
      </w:r>
      <w:r>
        <w:rPr>
          <w:sz w:val="24"/>
          <w:szCs w:val="24"/>
        </w:rPr>
        <w:t xml:space="preserve"> përsa i përket numrit të vdekjeve, ngjarjeve madhore kardiovaskulare (p.sh. infarktit të miokardit) ose hemorragjive madhore. Në mënyrë të ngjashme, edoxaban ishte jo inferior ndaj varfarinës në 220 pacientë të përfshirë në ENAVLE (prezantuar në ACC 2020). Sot, NOAC-ët shfaqen si një opsion i vlefshëm për menaxhimin e </w:t>
      </w:r>
      <w:r w:rsidRPr="00084185">
        <w:rPr>
          <w:i/>
          <w:iCs/>
          <w:sz w:val="24"/>
          <w:szCs w:val="24"/>
        </w:rPr>
        <w:t>fibrilacionit atrial dhe valvulave biologjike</w:t>
      </w:r>
      <w:r>
        <w:rPr>
          <w:sz w:val="24"/>
          <w:szCs w:val="24"/>
        </w:rPr>
        <w:t xml:space="preserve">, veçanërisht 8-12 javë menjëherë pas operacionit. </w:t>
      </w:r>
    </w:p>
    <w:p w14:paraId="40304663" w14:textId="77777777" w:rsidR="009E1860" w:rsidRDefault="009E1860" w:rsidP="009E1860">
      <w:pPr>
        <w:rPr>
          <w:sz w:val="24"/>
          <w:szCs w:val="24"/>
        </w:rPr>
      </w:pPr>
      <w:r w:rsidRPr="00E87BB3">
        <w:rPr>
          <w:i/>
          <w:iCs/>
          <w:sz w:val="24"/>
          <w:szCs w:val="24"/>
        </w:rPr>
        <w:t>Implantimi i valvulës aortale me transkateter (TAVI)</w:t>
      </w:r>
      <w:r>
        <w:rPr>
          <w:sz w:val="24"/>
          <w:szCs w:val="24"/>
        </w:rPr>
        <w:t>: N</w:t>
      </w:r>
      <w:r w:rsidRPr="00E87BB3">
        <w:rPr>
          <w:sz w:val="24"/>
          <w:szCs w:val="24"/>
        </w:rPr>
        <w:t xml:space="preserve">jë studim i vogël klinik rastësor prej 157 pacientësh </w:t>
      </w:r>
      <w:r>
        <w:rPr>
          <w:sz w:val="24"/>
          <w:szCs w:val="24"/>
        </w:rPr>
        <w:t>i kryer në pacientë tek të cilët u</w:t>
      </w:r>
      <w:r w:rsidRPr="007D2AF7">
        <w:rPr>
          <w:i/>
          <w:iCs/>
          <w:sz w:val="24"/>
          <w:szCs w:val="24"/>
        </w:rPr>
        <w:t xml:space="preserve"> </w:t>
      </w:r>
      <w:bookmarkStart w:id="3" w:name="_Hlk92306737"/>
      <w:r w:rsidRPr="007D2AF7">
        <w:rPr>
          <w:i/>
          <w:iCs/>
          <w:sz w:val="24"/>
          <w:szCs w:val="24"/>
        </w:rPr>
        <w:t>implant</w:t>
      </w:r>
      <w:r>
        <w:rPr>
          <w:i/>
          <w:iCs/>
          <w:sz w:val="24"/>
          <w:szCs w:val="24"/>
        </w:rPr>
        <w:t xml:space="preserve">ua </w:t>
      </w:r>
      <w:r w:rsidRPr="007D2AF7">
        <w:rPr>
          <w:i/>
          <w:iCs/>
          <w:sz w:val="24"/>
          <w:szCs w:val="24"/>
        </w:rPr>
        <w:t>valvul</w:t>
      </w:r>
      <w:r>
        <w:rPr>
          <w:i/>
          <w:iCs/>
          <w:sz w:val="24"/>
          <w:szCs w:val="24"/>
        </w:rPr>
        <w:t>a</w:t>
      </w:r>
      <w:r w:rsidRPr="007D2AF7">
        <w:rPr>
          <w:i/>
          <w:iCs/>
          <w:sz w:val="24"/>
          <w:szCs w:val="24"/>
        </w:rPr>
        <w:t xml:space="preserve"> aortale me transkateter (TAVI),</w:t>
      </w:r>
      <w:r>
        <w:rPr>
          <w:sz w:val="24"/>
          <w:szCs w:val="24"/>
        </w:rPr>
        <w:t xml:space="preserve"> </w:t>
      </w:r>
      <w:bookmarkEnd w:id="3"/>
      <w:r>
        <w:rPr>
          <w:sz w:val="24"/>
          <w:szCs w:val="24"/>
        </w:rPr>
        <w:t>dhe që kishin indikacion për antikoagulim (p.sh. fibrilacion atrial), krahasoi përdorimin e një antikoagulanti të vetëm oral përkundrejt terapisë së kombinuar antikoagulant oral plus klopidogrel. Studimi tregoi përfitim nga përdorimi i antikoagulantit oral si terapi e vetme për sa i përket reduktimit të hemorragjisë dhe mbrojtjes së pacientit nga ngjarjet ishemike. Në këtë studim, NOAC-ët patën rezultate më të mira se antivitaminikët K, por studimi nuk kishte fuqinë e duhur statistikore për të treguar jo-inferioritet ose superioritet.</w:t>
      </w:r>
    </w:p>
    <w:p w14:paraId="170912DE" w14:textId="77777777" w:rsidR="009E1860" w:rsidRDefault="009E1860" w:rsidP="009E1860">
      <w:pPr>
        <w:rPr>
          <w:sz w:val="24"/>
          <w:szCs w:val="24"/>
        </w:rPr>
      </w:pPr>
      <w:r>
        <w:rPr>
          <w:sz w:val="24"/>
          <w:szCs w:val="24"/>
        </w:rPr>
        <w:t xml:space="preserve">Është e rëndësishme të mbani mend se ndërsa monoterapia me antikoagulantë oralë (përfshirë NOAC) mund të konsiderohet pas TAVI në pacientët me fibrilacion atrial, kjo terapi nuk duhet të përdoret nëse TAVI (implantimi i valbulës aortale me transkateter) kryhet tek një pacient që nuk vuan nga fibrilacioni atrial.  </w:t>
      </w:r>
    </w:p>
    <w:p w14:paraId="52258C63" w14:textId="77777777" w:rsidR="009E1860" w:rsidRDefault="009E1860" w:rsidP="009E1860">
      <w:pPr>
        <w:rPr>
          <w:sz w:val="24"/>
          <w:szCs w:val="24"/>
        </w:rPr>
      </w:pPr>
      <w:r>
        <w:rPr>
          <w:sz w:val="24"/>
          <w:szCs w:val="24"/>
        </w:rPr>
        <w:t>Si</w:t>
      </w:r>
      <w:r w:rsidRPr="007D2AF7">
        <w:rPr>
          <w:i/>
          <w:iCs/>
          <w:sz w:val="24"/>
          <w:szCs w:val="24"/>
        </w:rPr>
        <w:t xml:space="preserve"> në kardiomiopatinë hipertrofike obstruktive ashtu edhe në ato joobstruktive, </w:t>
      </w:r>
      <w:r>
        <w:rPr>
          <w:sz w:val="24"/>
          <w:szCs w:val="24"/>
        </w:rPr>
        <w:t xml:space="preserve">fibrilcioni atrial shoqërohet me rrezik të lartë për trombozë. Pavarësisht mungesës së studimeve klinike të randomizuara, të dedikuara në këtë fushë, dëshmitë në rritje nga studimet vëzhguese tregojnë se NOAC-ët mund të jenë të sigurt dhe efektiv në këtë situatë. Në të vërtetë, duke pasur parasysh mekanizmin e veprimit, nuk ka arsye që NOAC-ët të jenë inferiorë ndaj varfarinës në kardiomiopatinë hipertrofike. Përkundrazi, fibrilacioni atrial në kardiomiopatinë hipertrofike ka shumë ngjashmëri me fibrilacionin atrial në terren të </w:t>
      </w:r>
      <w:bookmarkStart w:id="4" w:name="_Hlk92307110"/>
      <w:r>
        <w:rPr>
          <w:sz w:val="24"/>
          <w:szCs w:val="24"/>
        </w:rPr>
        <w:t>insuficiencës kardiake me fraksion të ruajtur të hedhjes (HfpEF</w:t>
      </w:r>
      <w:bookmarkEnd w:id="4"/>
      <w:r>
        <w:rPr>
          <w:sz w:val="24"/>
          <w:szCs w:val="24"/>
        </w:rPr>
        <w:t xml:space="preserve"> – heart failure with preserved ejection fraction), për të cilët NOAC-ët nuk janë inferiorë ndaj antivitaminikëve K. Për më tepër, NOAC-ët demonstrojnë një efikasitet të qëndrueshëm mbi antivitaminikët K edhe në nëngrupe të tjera me rrezik të lartë (p.sh. pacientët me një CHA</w:t>
      </w:r>
      <w:r w:rsidRPr="005736E1">
        <w:rPr>
          <w:sz w:val="24"/>
          <w:szCs w:val="24"/>
          <w:vertAlign w:val="subscript"/>
        </w:rPr>
        <w:t>2</w:t>
      </w:r>
      <w:r>
        <w:rPr>
          <w:sz w:val="24"/>
          <w:szCs w:val="24"/>
        </w:rPr>
        <w:t>DS</w:t>
      </w:r>
      <w:r w:rsidRPr="005736E1">
        <w:rPr>
          <w:sz w:val="24"/>
          <w:szCs w:val="24"/>
          <w:vertAlign w:val="subscript"/>
        </w:rPr>
        <w:t>2</w:t>
      </w:r>
      <w:r>
        <w:rPr>
          <w:sz w:val="24"/>
          <w:szCs w:val="24"/>
        </w:rPr>
        <w:t xml:space="preserve">VASc score të lartë). Si të tillë, pacientët </w:t>
      </w:r>
      <w:r w:rsidRPr="007D2AF7">
        <w:rPr>
          <w:i/>
          <w:iCs/>
          <w:sz w:val="24"/>
          <w:szCs w:val="24"/>
        </w:rPr>
        <w:t xml:space="preserve">me kardiomiopati hipertrofike </w:t>
      </w:r>
      <w:r>
        <w:rPr>
          <w:sz w:val="24"/>
          <w:szCs w:val="24"/>
        </w:rPr>
        <w:t>mund të kualifikohen për terapi me NOAC.</w:t>
      </w:r>
    </w:p>
    <w:p w14:paraId="0587A595" w14:textId="77777777" w:rsidR="009E1860" w:rsidRDefault="009E1860" w:rsidP="009E1860">
      <w:pPr>
        <w:rPr>
          <w:sz w:val="24"/>
          <w:szCs w:val="24"/>
        </w:rPr>
      </w:pPr>
      <w:r>
        <w:rPr>
          <w:sz w:val="24"/>
          <w:szCs w:val="24"/>
        </w:rPr>
        <w:t>NOAC-ët kundërindikohen gjatë shtatzënisë dhe masa kontraceptive të besueshme duhet të vendosen te gratë në moshë fertile përpara se të fillojnë terapinë me NOAC. Pacientët pediatrikë janë përjashtuar nga studimet kryesore fazë III për parandalimin e insultit cerebral  në fibrilacion atrial pasi dhe nevoja për antikogulim oral në këtë popullatë është e rrallë. Terapia me NOAC duhet të dekurajohet tek fëmijët, por mund të merret parasysh tek adoleshentët plotësisht të rritur me peshë trupore &gt;50 kg. Vlen të përmendet, se trajtimi i rregulluar sipas peshës trupore me rivaroxaban është dëshmuar i sigurt dhe efikas</w:t>
      </w:r>
      <w:r w:rsidRPr="00772A8D">
        <w:t xml:space="preserve"> </w:t>
      </w:r>
      <w:r w:rsidRPr="00772A8D">
        <w:rPr>
          <w:sz w:val="24"/>
          <w:szCs w:val="24"/>
        </w:rPr>
        <w:t>krahasuar me antikoagulantët tradicional</w:t>
      </w:r>
      <w:r>
        <w:rPr>
          <w:sz w:val="24"/>
          <w:szCs w:val="24"/>
        </w:rPr>
        <w:t>ë, për fëmijët me tromboemboli venoze akute.  Gjithashtu trajtimi me dabigatran me dozë të rregulluar zbuloi një profil të favorshëm sigurie për parandalimin dytësor të tromboembolisë venoze te fëmijët 3 muajsh deri në 18 vjeç.</w:t>
      </w:r>
    </w:p>
    <w:p w14:paraId="3FE80305" w14:textId="77777777" w:rsidR="009E1860" w:rsidRDefault="009E1860" w:rsidP="009E1860">
      <w:pPr>
        <w:rPr>
          <w:sz w:val="24"/>
          <w:szCs w:val="24"/>
        </w:rPr>
      </w:pPr>
      <w:r>
        <w:rPr>
          <w:sz w:val="24"/>
          <w:szCs w:val="24"/>
        </w:rPr>
        <w:t>NOAC-ët janë të kundërindikuar në pacientët me fibrilacion atrial jo-valvular dhe sindromën antifosfolipide. Këta pacientë duhet të trajtohen me antivitaminikë K.</w:t>
      </w:r>
    </w:p>
    <w:p w14:paraId="42C8B201" w14:textId="77777777" w:rsidR="009E1860" w:rsidRDefault="009E1860" w:rsidP="009E1860">
      <w:pPr>
        <w:rPr>
          <w:sz w:val="24"/>
          <w:szCs w:val="24"/>
        </w:rPr>
      </w:pPr>
    </w:p>
    <w:p w14:paraId="2861AC61" w14:textId="77777777" w:rsidR="009E1860" w:rsidRDefault="009E1860" w:rsidP="009E1860">
      <w:pPr>
        <w:rPr>
          <w:sz w:val="24"/>
          <w:szCs w:val="24"/>
        </w:rPr>
      </w:pPr>
    </w:p>
    <w:p w14:paraId="461EBAD0" w14:textId="77777777" w:rsidR="009E1860" w:rsidRPr="0048715A" w:rsidRDefault="009E1860" w:rsidP="009E1860">
      <w:pPr>
        <w:rPr>
          <w:b/>
          <w:bCs/>
          <w:sz w:val="20"/>
          <w:szCs w:val="20"/>
        </w:rPr>
      </w:pPr>
      <w:r w:rsidRPr="0048715A">
        <w:rPr>
          <w:b/>
          <w:bCs/>
          <w:sz w:val="20"/>
          <w:szCs w:val="20"/>
        </w:rPr>
        <w:t>Disa indikacione dhe kund</w:t>
      </w:r>
      <w:r>
        <w:rPr>
          <w:b/>
          <w:bCs/>
          <w:sz w:val="20"/>
          <w:szCs w:val="20"/>
        </w:rPr>
        <w:t>ë</w:t>
      </w:r>
      <w:r w:rsidRPr="0048715A">
        <w:rPr>
          <w:b/>
          <w:bCs/>
          <w:sz w:val="20"/>
          <w:szCs w:val="20"/>
        </w:rPr>
        <w:t>rindikacione t</w:t>
      </w:r>
      <w:r>
        <w:rPr>
          <w:b/>
          <w:bCs/>
          <w:sz w:val="20"/>
          <w:szCs w:val="20"/>
        </w:rPr>
        <w:t>ë</w:t>
      </w:r>
      <w:r w:rsidRPr="0048715A">
        <w:rPr>
          <w:b/>
          <w:bCs/>
          <w:sz w:val="20"/>
          <w:szCs w:val="20"/>
        </w:rPr>
        <w:t xml:space="preserve"> terapis</w:t>
      </w:r>
      <w:r>
        <w:rPr>
          <w:b/>
          <w:bCs/>
          <w:sz w:val="20"/>
          <w:szCs w:val="20"/>
        </w:rPr>
        <w:t>ë</w:t>
      </w:r>
      <w:r w:rsidRPr="0048715A">
        <w:rPr>
          <w:b/>
          <w:bCs/>
          <w:sz w:val="20"/>
          <w:szCs w:val="20"/>
        </w:rPr>
        <w:t xml:space="preserve"> me NOAC n</w:t>
      </w:r>
      <w:r>
        <w:rPr>
          <w:b/>
          <w:bCs/>
          <w:sz w:val="20"/>
          <w:szCs w:val="20"/>
        </w:rPr>
        <w:t>ë</w:t>
      </w:r>
      <w:r w:rsidRPr="0048715A">
        <w:rPr>
          <w:b/>
          <w:bCs/>
          <w:sz w:val="20"/>
          <w:szCs w:val="20"/>
        </w:rPr>
        <w:t xml:space="preserve"> pacient</w:t>
      </w:r>
      <w:r>
        <w:rPr>
          <w:b/>
          <w:bCs/>
          <w:sz w:val="20"/>
          <w:szCs w:val="20"/>
        </w:rPr>
        <w:t>ë</w:t>
      </w:r>
      <w:r w:rsidRPr="0048715A">
        <w:rPr>
          <w:b/>
          <w:bCs/>
          <w:sz w:val="20"/>
          <w:szCs w:val="20"/>
        </w:rPr>
        <w:t>t me Fibrilacion Atrial</w:t>
      </w:r>
    </w:p>
    <w:tbl>
      <w:tblPr>
        <w:tblW w:w="9700" w:type="dxa"/>
        <w:tblLook w:val="04A0" w:firstRow="1" w:lastRow="0" w:firstColumn="1" w:lastColumn="0" w:noHBand="0" w:noVBand="1"/>
      </w:tblPr>
      <w:tblGrid>
        <w:gridCol w:w="2240"/>
        <w:gridCol w:w="2120"/>
        <w:gridCol w:w="5340"/>
      </w:tblGrid>
      <w:tr w:rsidR="009E1860" w:rsidRPr="0048715A" w14:paraId="4604ABCE" w14:textId="77777777" w:rsidTr="00DE7904">
        <w:trPr>
          <w:trHeight w:val="580"/>
        </w:trPr>
        <w:tc>
          <w:tcPr>
            <w:tcW w:w="2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9289" w14:textId="77777777" w:rsidR="009E1860" w:rsidRDefault="009E1860" w:rsidP="00DE7904">
            <w:pPr>
              <w:spacing w:after="0" w:line="240" w:lineRule="auto"/>
              <w:jc w:val="center"/>
              <w:rPr>
                <w:rFonts w:ascii="Calibri" w:eastAsia="Times New Roman" w:hAnsi="Calibri" w:cs="Times New Roman"/>
                <w:b/>
                <w:bCs/>
                <w:color w:val="000000"/>
              </w:rPr>
            </w:pPr>
          </w:p>
          <w:p w14:paraId="058F4480" w14:textId="77777777" w:rsidR="009E1860" w:rsidRPr="0048715A" w:rsidRDefault="009E1860" w:rsidP="00DE7904">
            <w:pPr>
              <w:spacing w:after="0" w:line="240" w:lineRule="auto"/>
              <w:rPr>
                <w:rFonts w:ascii="Calibri" w:eastAsia="Times New Roman" w:hAnsi="Calibri" w:cs="Times New Roman"/>
                <w:b/>
                <w:bCs/>
                <w:color w:val="000000"/>
              </w:rPr>
            </w:pP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644394DA"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 xml:space="preserve">Përshtatshmëria e përdorimit të NOAC </w:t>
            </w:r>
          </w:p>
        </w:tc>
        <w:tc>
          <w:tcPr>
            <w:tcW w:w="5340" w:type="dxa"/>
            <w:tcBorders>
              <w:top w:val="single" w:sz="4" w:space="0" w:color="auto"/>
              <w:left w:val="nil"/>
              <w:bottom w:val="single" w:sz="4" w:space="0" w:color="auto"/>
              <w:right w:val="single" w:sz="4" w:space="0" w:color="auto"/>
            </w:tcBorders>
            <w:shd w:val="clear" w:color="auto" w:fill="auto"/>
            <w:vAlign w:val="center"/>
            <w:hideMark/>
          </w:tcPr>
          <w:p w14:paraId="0FB24B6F" w14:textId="77777777" w:rsidR="009E1860" w:rsidRPr="0048715A" w:rsidRDefault="009E1860" w:rsidP="00DE7904">
            <w:pPr>
              <w:spacing w:after="0" w:line="240" w:lineRule="auto"/>
              <w:jc w:val="center"/>
              <w:rPr>
                <w:rFonts w:ascii="Calibri" w:eastAsia="Times New Roman" w:hAnsi="Calibri" w:cs="Times New Roman"/>
                <w:b/>
                <w:bCs/>
                <w:color w:val="000000"/>
              </w:rPr>
            </w:pPr>
            <w:r w:rsidRPr="0048715A">
              <w:rPr>
                <w:rFonts w:ascii="Calibri" w:eastAsia="Times New Roman" w:hAnsi="Calibri" w:cs="Times New Roman"/>
                <w:b/>
                <w:bCs/>
                <w:color w:val="000000"/>
              </w:rPr>
              <w:t>Komente</w:t>
            </w:r>
          </w:p>
        </w:tc>
      </w:tr>
      <w:tr w:rsidR="009E1860" w:rsidRPr="0048715A" w14:paraId="4CF28B6B"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FF3300"/>
            <w:vAlign w:val="bottom"/>
            <w:hideMark/>
          </w:tcPr>
          <w:p w14:paraId="3C3FC6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Valvula protetike mekanike</w:t>
            </w:r>
          </w:p>
        </w:tc>
        <w:tc>
          <w:tcPr>
            <w:tcW w:w="2120" w:type="dxa"/>
            <w:tcBorders>
              <w:top w:val="nil"/>
              <w:left w:val="nil"/>
              <w:bottom w:val="single" w:sz="4" w:space="0" w:color="auto"/>
              <w:right w:val="single" w:sz="4" w:space="0" w:color="auto"/>
            </w:tcBorders>
            <w:shd w:val="clear" w:color="000000" w:fill="FF3300"/>
            <w:vAlign w:val="bottom"/>
            <w:hideMark/>
          </w:tcPr>
          <w:p w14:paraId="75ACB74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FF3300"/>
            <w:vAlign w:val="bottom"/>
            <w:hideMark/>
          </w:tcPr>
          <w:p w14:paraId="7DFF79D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Të përjashtuar nga studimet klinike rastësore. Të dhënat tregojnë rezultate të përkeqësuara </w:t>
            </w:r>
          </w:p>
        </w:tc>
      </w:tr>
      <w:tr w:rsidR="009E1860" w:rsidRPr="0048715A" w14:paraId="24130CEF" w14:textId="77777777" w:rsidTr="00DE7904">
        <w:trPr>
          <w:trHeight w:val="1160"/>
        </w:trPr>
        <w:tc>
          <w:tcPr>
            <w:tcW w:w="2240" w:type="dxa"/>
            <w:tcBorders>
              <w:top w:val="nil"/>
              <w:left w:val="single" w:sz="4" w:space="0" w:color="auto"/>
              <w:bottom w:val="single" w:sz="4" w:space="0" w:color="auto"/>
              <w:right w:val="single" w:sz="4" w:space="0" w:color="auto"/>
            </w:tcBorders>
            <w:shd w:val="clear" w:color="000000" w:fill="CC0000"/>
            <w:vAlign w:val="bottom"/>
            <w:hideMark/>
          </w:tcPr>
          <w:p w14:paraId="0FDB5F0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mitrale e formës së rëndë deri në të lehtë (zakonisht me origjinë reumatike)</w:t>
            </w:r>
          </w:p>
        </w:tc>
        <w:tc>
          <w:tcPr>
            <w:tcW w:w="2120" w:type="dxa"/>
            <w:tcBorders>
              <w:top w:val="nil"/>
              <w:left w:val="nil"/>
              <w:bottom w:val="single" w:sz="4" w:space="0" w:color="auto"/>
              <w:right w:val="single" w:sz="4" w:space="0" w:color="auto"/>
            </w:tcBorders>
            <w:shd w:val="clear" w:color="000000" w:fill="CC0000"/>
            <w:vAlign w:val="bottom"/>
            <w:hideMark/>
          </w:tcPr>
          <w:p w14:paraId="6DD8D971"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kundërindikuar</w:t>
            </w:r>
          </w:p>
        </w:tc>
        <w:tc>
          <w:tcPr>
            <w:tcW w:w="5340" w:type="dxa"/>
            <w:tcBorders>
              <w:top w:val="nil"/>
              <w:left w:val="nil"/>
              <w:bottom w:val="single" w:sz="4" w:space="0" w:color="auto"/>
              <w:right w:val="single" w:sz="4" w:space="0" w:color="auto"/>
            </w:tcBorders>
            <w:shd w:val="clear" w:color="000000" w:fill="CC0000"/>
            <w:vAlign w:val="bottom"/>
            <w:hideMark/>
          </w:tcPr>
          <w:p w14:paraId="331ABEB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përjashtuar nga studimet klinike rastësore. Nuk bazohet fort arsyetimi  se NOAC-ët mund të jenë më pak efikas dhe të sigurt se VKA-të</w:t>
            </w:r>
          </w:p>
        </w:tc>
      </w:tr>
      <w:tr w:rsidR="009E1860" w:rsidRPr="0048715A" w14:paraId="5382E179" w14:textId="77777777" w:rsidTr="00DE7904">
        <w:trPr>
          <w:trHeight w:val="232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9E3E4E0"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Sëmundje të tjera valvularë të formës së rëndë deri në të lehtë (p.sh. stenozë degjenerative e aortës, regurgitim mitral e.t.j.) Riparim i valvulës / valvul bioprotetike</w:t>
            </w:r>
          </w:p>
        </w:tc>
        <w:tc>
          <w:tcPr>
            <w:tcW w:w="2120" w:type="dxa"/>
            <w:tcBorders>
              <w:top w:val="nil"/>
              <w:left w:val="nil"/>
              <w:bottom w:val="single" w:sz="4" w:space="0" w:color="auto"/>
              <w:right w:val="single" w:sz="4" w:space="0" w:color="auto"/>
            </w:tcBorders>
            <w:shd w:val="clear" w:color="000000" w:fill="00B050"/>
            <w:vAlign w:val="bottom"/>
            <w:hideMark/>
          </w:tcPr>
          <w:p w14:paraId="06D013C2"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Janë përfshirë në studimet klinike të NOAC-ëve Përdorim i pranueshëm </w:t>
            </w:r>
          </w:p>
        </w:tc>
        <w:tc>
          <w:tcPr>
            <w:tcW w:w="5340" w:type="dxa"/>
            <w:tcBorders>
              <w:top w:val="nil"/>
              <w:left w:val="nil"/>
              <w:bottom w:val="single" w:sz="4" w:space="0" w:color="auto"/>
              <w:right w:val="single" w:sz="4" w:space="0" w:color="auto"/>
            </w:tcBorders>
            <w:shd w:val="clear" w:color="000000" w:fill="00B050"/>
            <w:vAlign w:val="bottom"/>
            <w:hideMark/>
          </w:tcPr>
          <w:p w14:paraId="7792BD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dhënat mbi efikasitetin dhe sigurinë janë konsistente me ato tek pacientët pa sëmundje valvulare të zemrës. Disa të dhëna nga RCT-të e NOAC-ëve. RCT të vetme të dedikuara që tregojnë jo-inferioritet vs VKA. Pacientët pa FA përdorin ASA pas 3-6 muaj pas kirurgjisë, kështu terapia me NOAC është e pranueshme nëse pacienti diagnostikohet me FA</w:t>
            </w:r>
          </w:p>
        </w:tc>
      </w:tr>
      <w:tr w:rsidR="009E1860" w:rsidRPr="0048715A" w14:paraId="5D61DB3C"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ABE51B"/>
            <w:vAlign w:val="bottom"/>
            <w:hideMark/>
          </w:tcPr>
          <w:p w14:paraId="5F10BA2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Stenozë e rëndë e aortës</w:t>
            </w:r>
          </w:p>
        </w:tc>
        <w:tc>
          <w:tcPr>
            <w:tcW w:w="2120" w:type="dxa"/>
            <w:tcBorders>
              <w:top w:val="nil"/>
              <w:left w:val="nil"/>
              <w:bottom w:val="single" w:sz="4" w:space="0" w:color="auto"/>
              <w:right w:val="single" w:sz="4" w:space="0" w:color="auto"/>
            </w:tcBorders>
            <w:shd w:val="clear" w:color="000000" w:fill="ABE51B"/>
            <w:vAlign w:val="bottom"/>
            <w:hideMark/>
          </w:tcPr>
          <w:p w14:paraId="1FC1F975"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dhëna të kufizuara (pacientët të përjashtuar në RE-LY)</w:t>
            </w:r>
          </w:p>
        </w:tc>
        <w:tc>
          <w:tcPr>
            <w:tcW w:w="5340" w:type="dxa"/>
            <w:tcBorders>
              <w:top w:val="nil"/>
              <w:left w:val="nil"/>
              <w:bottom w:val="single" w:sz="4" w:space="0" w:color="auto"/>
              <w:right w:val="single" w:sz="4" w:space="0" w:color="auto"/>
            </w:tcBorders>
            <w:shd w:val="clear" w:color="000000" w:fill="ABE51B"/>
            <w:vAlign w:val="bottom"/>
            <w:hideMark/>
          </w:tcPr>
          <w:p w14:paraId="6F8BB31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pathofiziologjike për më pak efikasitet dhe siguri. Pjesa më e madhe e pacientëve do t'i nënshtrohen ndërhyrjes</w:t>
            </w:r>
          </w:p>
        </w:tc>
      </w:tr>
      <w:tr w:rsidR="009E1860" w:rsidRPr="0048715A" w14:paraId="2F09132A"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0E24660A"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 xml:space="preserve">Implantimi i valvulës aortale </w:t>
            </w:r>
            <w:r>
              <w:rPr>
                <w:rFonts w:ascii="Calibri" w:eastAsia="Times New Roman" w:hAnsi="Calibri" w:cs="Times New Roman"/>
                <w:color w:val="000000"/>
              </w:rPr>
              <w:t xml:space="preserve">me </w:t>
            </w:r>
            <w:r w:rsidRPr="0048715A">
              <w:rPr>
                <w:rFonts w:ascii="Calibri" w:eastAsia="Times New Roman" w:hAnsi="Calibri" w:cs="Times New Roman"/>
                <w:color w:val="000000"/>
              </w:rPr>
              <w:t>transkatete</w:t>
            </w:r>
            <w:r>
              <w:rPr>
                <w:rFonts w:ascii="Calibri" w:eastAsia="Times New Roman" w:hAnsi="Calibri" w:cs="Times New Roman"/>
                <w:color w:val="000000"/>
              </w:rPr>
              <w:t>r</w:t>
            </w:r>
          </w:p>
        </w:tc>
        <w:tc>
          <w:tcPr>
            <w:tcW w:w="2120" w:type="dxa"/>
            <w:tcBorders>
              <w:top w:val="nil"/>
              <w:left w:val="nil"/>
              <w:bottom w:val="single" w:sz="4" w:space="0" w:color="auto"/>
              <w:right w:val="single" w:sz="4" w:space="0" w:color="auto"/>
            </w:tcBorders>
            <w:shd w:val="clear" w:color="000000" w:fill="00B050"/>
            <w:vAlign w:val="bottom"/>
            <w:hideMark/>
          </w:tcPr>
          <w:p w14:paraId="256B4DEC"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20992ABB"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Një studim klinik rastësor + të dhëna observacionale. Mund të kërkohet kombinim me terapi antiagregante.</w:t>
            </w:r>
          </w:p>
        </w:tc>
      </w:tr>
      <w:tr w:rsidR="009E1860" w:rsidRPr="0048715A" w14:paraId="529B7E64" w14:textId="77777777" w:rsidTr="00DE7904">
        <w:trPr>
          <w:trHeight w:val="870"/>
        </w:trPr>
        <w:tc>
          <w:tcPr>
            <w:tcW w:w="2240" w:type="dxa"/>
            <w:tcBorders>
              <w:top w:val="nil"/>
              <w:left w:val="single" w:sz="4" w:space="0" w:color="auto"/>
              <w:bottom w:val="single" w:sz="4" w:space="0" w:color="auto"/>
              <w:right w:val="single" w:sz="4" w:space="0" w:color="auto"/>
            </w:tcBorders>
            <w:shd w:val="clear" w:color="000000" w:fill="ED7D31"/>
            <w:vAlign w:val="bottom"/>
            <w:hideMark/>
          </w:tcPr>
          <w:p w14:paraId="0A30F3D3"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Valvuloplastika  transluminale perkutane e aortës</w:t>
            </w:r>
          </w:p>
        </w:tc>
        <w:tc>
          <w:tcPr>
            <w:tcW w:w="2120" w:type="dxa"/>
            <w:tcBorders>
              <w:top w:val="nil"/>
              <w:left w:val="nil"/>
              <w:bottom w:val="single" w:sz="4" w:space="0" w:color="auto"/>
              <w:right w:val="single" w:sz="4" w:space="0" w:color="auto"/>
            </w:tcBorders>
            <w:shd w:val="clear" w:color="000000" w:fill="ED7D31"/>
            <w:vAlign w:val="bottom"/>
            <w:hideMark/>
          </w:tcPr>
          <w:p w14:paraId="130696A9"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Të përdoren me kujdes</w:t>
            </w:r>
          </w:p>
        </w:tc>
        <w:tc>
          <w:tcPr>
            <w:tcW w:w="5340" w:type="dxa"/>
            <w:tcBorders>
              <w:top w:val="nil"/>
              <w:left w:val="nil"/>
              <w:bottom w:val="single" w:sz="4" w:space="0" w:color="auto"/>
              <w:right w:val="single" w:sz="4" w:space="0" w:color="auto"/>
            </w:tcBorders>
            <w:shd w:val="clear" w:color="000000" w:fill="ED7D31"/>
            <w:vAlign w:val="bottom"/>
            <w:hideMark/>
          </w:tcPr>
          <w:p w14:paraId="7ECE7CED"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të dhëna prospektive. Mund të kërkohet kombinim me terapi antiagregante</w:t>
            </w:r>
          </w:p>
        </w:tc>
      </w:tr>
      <w:tr w:rsidR="009E1860" w:rsidRPr="0048715A" w14:paraId="605B075F" w14:textId="77777777" w:rsidTr="00DE7904">
        <w:trPr>
          <w:trHeight w:val="580"/>
        </w:trPr>
        <w:tc>
          <w:tcPr>
            <w:tcW w:w="2240" w:type="dxa"/>
            <w:tcBorders>
              <w:top w:val="nil"/>
              <w:left w:val="single" w:sz="4" w:space="0" w:color="auto"/>
              <w:bottom w:val="single" w:sz="4" w:space="0" w:color="auto"/>
              <w:right w:val="single" w:sz="4" w:space="0" w:color="auto"/>
            </w:tcBorders>
            <w:shd w:val="clear" w:color="000000" w:fill="00B050"/>
            <w:vAlign w:val="bottom"/>
            <w:hideMark/>
          </w:tcPr>
          <w:p w14:paraId="324CAA8E"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Kardiomiopati hipertrofike</w:t>
            </w:r>
          </w:p>
        </w:tc>
        <w:tc>
          <w:tcPr>
            <w:tcW w:w="2120" w:type="dxa"/>
            <w:tcBorders>
              <w:top w:val="nil"/>
              <w:left w:val="nil"/>
              <w:bottom w:val="single" w:sz="4" w:space="0" w:color="auto"/>
              <w:right w:val="single" w:sz="4" w:space="0" w:color="auto"/>
            </w:tcBorders>
            <w:shd w:val="clear" w:color="000000" w:fill="00B050"/>
            <w:vAlign w:val="bottom"/>
            <w:hideMark/>
          </w:tcPr>
          <w:p w14:paraId="4237D676"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E pranueshme</w:t>
            </w:r>
          </w:p>
        </w:tc>
        <w:tc>
          <w:tcPr>
            <w:tcW w:w="5340" w:type="dxa"/>
            <w:tcBorders>
              <w:top w:val="nil"/>
              <w:left w:val="nil"/>
              <w:bottom w:val="single" w:sz="4" w:space="0" w:color="auto"/>
              <w:right w:val="single" w:sz="4" w:space="0" w:color="auto"/>
            </w:tcBorders>
            <w:shd w:val="clear" w:color="000000" w:fill="00B050"/>
            <w:vAlign w:val="bottom"/>
            <w:hideMark/>
          </w:tcPr>
          <w:p w14:paraId="732B54A4" w14:textId="77777777" w:rsidR="009E1860" w:rsidRPr="0048715A" w:rsidRDefault="009E1860" w:rsidP="00DE7904">
            <w:pPr>
              <w:spacing w:after="0" w:line="240" w:lineRule="auto"/>
              <w:rPr>
                <w:rFonts w:ascii="Calibri" w:eastAsia="Times New Roman" w:hAnsi="Calibri" w:cs="Times New Roman"/>
                <w:color w:val="000000"/>
              </w:rPr>
            </w:pPr>
            <w:r w:rsidRPr="0048715A">
              <w:rPr>
                <w:rFonts w:ascii="Calibri" w:eastAsia="Times New Roman" w:hAnsi="Calibri" w:cs="Times New Roman"/>
                <w:color w:val="000000"/>
              </w:rPr>
              <w:t>Nuk ka arsye të mendohet se NOAC-ët mund të jenë më pak efikas dhe të sigurt se VKA-të</w:t>
            </w:r>
          </w:p>
        </w:tc>
      </w:tr>
    </w:tbl>
    <w:p w14:paraId="1F36A1A7" w14:textId="77777777" w:rsidR="009E1860" w:rsidRDefault="009E1860" w:rsidP="009E1860">
      <w:pPr>
        <w:rPr>
          <w:rFonts w:cstheme="minorHAnsi"/>
          <w:b/>
          <w:bCs/>
          <w:color w:val="000000"/>
          <w:sz w:val="24"/>
          <w:szCs w:val="24"/>
        </w:rPr>
      </w:pPr>
    </w:p>
    <w:p w14:paraId="0DE44ADA" w14:textId="77777777" w:rsidR="009E1860" w:rsidRPr="00962BE2" w:rsidRDefault="009E1860" w:rsidP="009E1860">
      <w:pPr>
        <w:rPr>
          <w:rFonts w:cstheme="minorHAnsi"/>
          <w:b/>
          <w:bCs/>
          <w:color w:val="000000"/>
          <w:sz w:val="24"/>
          <w:szCs w:val="24"/>
        </w:rPr>
      </w:pPr>
    </w:p>
    <w:p w14:paraId="0A18561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 </w:t>
      </w:r>
      <w:r w:rsidRPr="00962BE2">
        <w:rPr>
          <w:rFonts w:cstheme="minorHAnsi"/>
          <w:b/>
          <w:bCs/>
          <w:color w:val="000000"/>
          <w:sz w:val="24"/>
          <w:szCs w:val="24"/>
        </w:rPr>
        <w:t>Menaxhimi i hemorragjis</w:t>
      </w:r>
      <w:r>
        <w:rPr>
          <w:rFonts w:cstheme="minorHAnsi"/>
          <w:b/>
          <w:bCs/>
          <w:color w:val="000000"/>
          <w:sz w:val="24"/>
          <w:szCs w:val="24"/>
        </w:rPr>
        <w:t>ë</w:t>
      </w:r>
      <w:r w:rsidRPr="00962BE2">
        <w:rPr>
          <w:rFonts w:cstheme="minorHAnsi"/>
          <w:b/>
          <w:bCs/>
          <w:color w:val="000000"/>
          <w:sz w:val="24"/>
          <w:szCs w:val="24"/>
        </w:rPr>
        <w:t xml:space="preserve"> nën terapinë me NOAC</w:t>
      </w:r>
    </w:p>
    <w:p w14:paraId="62ABF32B"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4.2.1 </w:t>
      </w:r>
      <w:r w:rsidRPr="00962BE2">
        <w:rPr>
          <w:rFonts w:cstheme="minorHAnsi"/>
          <w:b/>
          <w:bCs/>
          <w:color w:val="000000"/>
          <w:sz w:val="24"/>
          <w:szCs w:val="24"/>
        </w:rPr>
        <w:t xml:space="preserve">Aspekte të përgjithshme </w:t>
      </w:r>
    </w:p>
    <w:p w14:paraId="799C9CA6"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e fazës III kanë treguar vazhdimisht se NOAC-ët shkaktojnë më pak hemorragji intrakraniale dhe</w:t>
      </w:r>
      <w:r>
        <w:rPr>
          <w:rFonts w:cstheme="minorHAnsi"/>
          <w:color w:val="000000"/>
          <w:sz w:val="24"/>
          <w:szCs w:val="24"/>
        </w:rPr>
        <w:t xml:space="preserve"> </w:t>
      </w:r>
      <w:r w:rsidRPr="00D305B9">
        <w:rPr>
          <w:rFonts w:cstheme="minorHAnsi"/>
          <w:color w:val="000000"/>
          <w:sz w:val="24"/>
          <w:szCs w:val="24"/>
        </w:rPr>
        <w:t>m</w:t>
      </w:r>
      <w:r>
        <w:rPr>
          <w:rFonts w:cstheme="minorHAnsi"/>
          <w:color w:val="000000"/>
          <w:sz w:val="24"/>
          <w:szCs w:val="24"/>
        </w:rPr>
        <w:t>ë</w:t>
      </w:r>
      <w:r w:rsidRPr="00D305B9">
        <w:rPr>
          <w:rFonts w:cstheme="minorHAnsi"/>
          <w:color w:val="000000"/>
          <w:sz w:val="24"/>
          <w:szCs w:val="24"/>
        </w:rPr>
        <w:t xml:space="preserve"> pak hemorragji kërcënuese për jetën sesa varfarina, pavarësisht nga mungesa e agjentëve specifikë të </w:t>
      </w:r>
      <w:r>
        <w:rPr>
          <w:rFonts w:cstheme="minorHAnsi"/>
          <w:color w:val="000000"/>
          <w:sz w:val="24"/>
          <w:szCs w:val="24"/>
        </w:rPr>
        <w:t>anullimit të efektit</w:t>
      </w:r>
      <w:r w:rsidRPr="00D305B9">
        <w:rPr>
          <w:rFonts w:cstheme="minorHAnsi"/>
          <w:color w:val="000000"/>
          <w:sz w:val="24"/>
          <w:szCs w:val="24"/>
        </w:rPr>
        <w:t xml:space="preserve"> (antidot</w:t>
      </w:r>
      <w:r>
        <w:rPr>
          <w:rFonts w:cstheme="minorHAnsi"/>
          <w:color w:val="000000"/>
          <w:sz w:val="24"/>
          <w:szCs w:val="24"/>
        </w:rPr>
        <w:t>ë</w:t>
      </w:r>
      <w:r w:rsidRPr="00D305B9">
        <w:rPr>
          <w:rFonts w:cstheme="minorHAnsi"/>
          <w:color w:val="000000"/>
          <w:sz w:val="24"/>
          <w:szCs w:val="24"/>
        </w:rPr>
        <w:t xml:space="preserve">ve) në këto studime. </w:t>
      </w:r>
      <w:r>
        <w:rPr>
          <w:rFonts w:cstheme="minorHAnsi"/>
          <w:color w:val="000000"/>
          <w:sz w:val="24"/>
          <w:szCs w:val="24"/>
        </w:rPr>
        <w:t xml:space="preserve">Për më tepër menaxhimi i hemorragjive madhore </w:t>
      </w:r>
      <w:r w:rsidRPr="00D305B9">
        <w:rPr>
          <w:rFonts w:cstheme="minorHAnsi"/>
          <w:color w:val="000000"/>
          <w:sz w:val="24"/>
          <w:szCs w:val="24"/>
        </w:rPr>
        <w:t xml:space="preserve">(veçanërisht </w:t>
      </w:r>
      <w:r>
        <w:rPr>
          <w:rFonts w:cstheme="minorHAnsi"/>
          <w:color w:val="000000"/>
          <w:sz w:val="24"/>
          <w:szCs w:val="24"/>
        </w:rPr>
        <w:t xml:space="preserve">i atyre </w:t>
      </w:r>
      <w:r w:rsidRPr="00D305B9">
        <w:rPr>
          <w:rFonts w:cstheme="minorHAnsi"/>
          <w:color w:val="000000"/>
          <w:sz w:val="24"/>
          <w:szCs w:val="24"/>
        </w:rPr>
        <w:t>ekstrakraniale)</w:t>
      </w:r>
      <w:r>
        <w:rPr>
          <w:rFonts w:cstheme="minorHAnsi"/>
          <w:color w:val="000000"/>
          <w:sz w:val="24"/>
          <w:szCs w:val="24"/>
        </w:rPr>
        <w:t xml:space="preserve"> tek pacientët nën </w:t>
      </w:r>
      <w:r w:rsidRPr="00D305B9">
        <w:rPr>
          <w:rFonts w:cstheme="minorHAnsi"/>
          <w:color w:val="000000"/>
          <w:sz w:val="24"/>
          <w:szCs w:val="24"/>
        </w:rPr>
        <w:t xml:space="preserve">NOAC </w:t>
      </w:r>
      <w:r>
        <w:rPr>
          <w:rFonts w:cstheme="minorHAnsi"/>
          <w:color w:val="000000"/>
          <w:sz w:val="24"/>
          <w:szCs w:val="24"/>
        </w:rPr>
        <w:t>ishte më i thjeshtë dhe me rezultate më të mira sesa menaxhimi i hemorragjive nga varfarina.</w:t>
      </w:r>
      <w:r w:rsidRPr="00D305B9">
        <w:rPr>
          <w:rFonts w:cstheme="minorHAnsi"/>
          <w:color w:val="000000"/>
          <w:sz w:val="24"/>
          <w:szCs w:val="24"/>
        </w:rPr>
        <w:t xml:space="preserve"> K</w:t>
      </w:r>
      <w:r>
        <w:rPr>
          <w:rFonts w:cstheme="minorHAnsi"/>
          <w:color w:val="000000"/>
          <w:sz w:val="24"/>
          <w:szCs w:val="24"/>
        </w:rPr>
        <w:t xml:space="preserve">y rezultat vërtetohet </w:t>
      </w:r>
      <w:r w:rsidRPr="00D305B9">
        <w:rPr>
          <w:rFonts w:cstheme="minorHAnsi"/>
          <w:color w:val="000000"/>
          <w:sz w:val="24"/>
          <w:szCs w:val="24"/>
        </w:rPr>
        <w:t>edhe nga fakti q</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vdekjet dhe hemorragjitë kërcënuese </w:t>
      </w:r>
      <w:r w:rsidRPr="003869B8">
        <w:rPr>
          <w:rFonts w:cstheme="minorHAnsi"/>
          <w:color w:val="000000"/>
          <w:sz w:val="24"/>
          <w:szCs w:val="24"/>
        </w:rPr>
        <w:t xml:space="preserve">për jetën/fatale </w:t>
      </w:r>
      <w:r>
        <w:rPr>
          <w:rFonts w:cstheme="minorHAnsi"/>
          <w:color w:val="000000"/>
          <w:sz w:val="24"/>
          <w:szCs w:val="24"/>
        </w:rPr>
        <w:t xml:space="preserve">ishin më të pakta nën </w:t>
      </w:r>
      <w:r w:rsidRPr="00D305B9">
        <w:rPr>
          <w:rFonts w:cstheme="minorHAnsi"/>
          <w:color w:val="000000"/>
          <w:sz w:val="24"/>
          <w:szCs w:val="24"/>
        </w:rPr>
        <w:t>NOAC</w:t>
      </w:r>
      <w:r>
        <w:rPr>
          <w:rFonts w:cstheme="minorHAnsi"/>
          <w:color w:val="000000"/>
          <w:sz w:val="24"/>
          <w:szCs w:val="24"/>
        </w:rPr>
        <w:t xml:space="preserve"> përkundrejt varfarinës.</w:t>
      </w:r>
      <w:r w:rsidRPr="00D305B9">
        <w:rPr>
          <w:rFonts w:cstheme="minorHAnsi"/>
          <w:color w:val="000000"/>
          <w:sz w:val="24"/>
          <w:szCs w:val="24"/>
        </w:rPr>
        <w:t xml:space="preserve"> </w:t>
      </w:r>
    </w:p>
    <w:p w14:paraId="083278F4" w14:textId="77777777" w:rsidR="009E1860" w:rsidRPr="00D305B9" w:rsidRDefault="009E1860" w:rsidP="009E1860">
      <w:pPr>
        <w:rPr>
          <w:rFonts w:cstheme="minorHAnsi"/>
          <w:color w:val="000000"/>
          <w:sz w:val="24"/>
          <w:szCs w:val="24"/>
        </w:rPr>
      </w:pPr>
      <w:r w:rsidRPr="00D305B9">
        <w:rPr>
          <w:rFonts w:cstheme="minorHAnsi"/>
          <w:color w:val="000000"/>
          <w:sz w:val="24"/>
          <w:szCs w:val="24"/>
        </w:rPr>
        <w:t>Sidoqoftë, me rritjen e numrit t</w:t>
      </w:r>
      <w:r>
        <w:rPr>
          <w:rFonts w:cstheme="minorHAnsi"/>
          <w:color w:val="000000"/>
          <w:sz w:val="24"/>
          <w:szCs w:val="24"/>
        </w:rPr>
        <w:t>ë</w:t>
      </w:r>
      <w:r w:rsidRPr="00D305B9">
        <w:rPr>
          <w:rFonts w:cstheme="minorHAnsi"/>
          <w:color w:val="000000"/>
          <w:sz w:val="24"/>
          <w:szCs w:val="24"/>
        </w:rPr>
        <w:t xml:space="preserve"> pacientëve q</w:t>
      </w:r>
      <w:r>
        <w:rPr>
          <w:rFonts w:cstheme="minorHAnsi"/>
          <w:color w:val="000000"/>
          <w:sz w:val="24"/>
          <w:szCs w:val="24"/>
        </w:rPr>
        <w:t>ë</w:t>
      </w:r>
      <w:r w:rsidRPr="00D305B9">
        <w:rPr>
          <w:rFonts w:cstheme="minorHAnsi"/>
          <w:color w:val="000000"/>
          <w:sz w:val="24"/>
          <w:szCs w:val="24"/>
        </w:rPr>
        <w:t xml:space="preserve"> trajtohen me NOAC, rritet edhe numri absolut i ngjarjeve hemorragjike të lidhura me p</w:t>
      </w:r>
      <w:r>
        <w:rPr>
          <w:rFonts w:cstheme="minorHAnsi"/>
          <w:color w:val="000000"/>
          <w:sz w:val="24"/>
          <w:szCs w:val="24"/>
        </w:rPr>
        <w:t>ë</w:t>
      </w:r>
      <w:r w:rsidRPr="00D305B9">
        <w:rPr>
          <w:rFonts w:cstheme="minorHAnsi"/>
          <w:color w:val="000000"/>
          <w:sz w:val="24"/>
          <w:szCs w:val="24"/>
        </w:rPr>
        <w:t xml:space="preserve">rdorimin e tyre.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r</w:t>
      </w:r>
      <w:r>
        <w:rPr>
          <w:rFonts w:cstheme="minorHAnsi"/>
          <w:color w:val="000000"/>
          <w:sz w:val="24"/>
          <w:szCs w:val="24"/>
        </w:rPr>
        <w:t>ë</w:t>
      </w:r>
      <w:r w:rsidRPr="00D305B9">
        <w:rPr>
          <w:rFonts w:cstheme="minorHAnsi"/>
          <w:color w:val="000000"/>
          <w:sz w:val="24"/>
          <w:szCs w:val="24"/>
        </w:rPr>
        <w:t>nd</w:t>
      </w:r>
      <w:r>
        <w:rPr>
          <w:rFonts w:cstheme="minorHAnsi"/>
          <w:color w:val="000000"/>
          <w:sz w:val="24"/>
          <w:szCs w:val="24"/>
        </w:rPr>
        <w:t>ë</w:t>
      </w:r>
      <w:r w:rsidRPr="00D305B9">
        <w:rPr>
          <w:rFonts w:cstheme="minorHAnsi"/>
          <w:color w:val="000000"/>
          <w:sz w:val="24"/>
          <w:szCs w:val="24"/>
        </w:rPr>
        <w:t>sishme t</w:t>
      </w:r>
      <w:r>
        <w:rPr>
          <w:rFonts w:cstheme="minorHAnsi"/>
          <w:color w:val="000000"/>
          <w:sz w:val="24"/>
          <w:szCs w:val="24"/>
        </w:rPr>
        <w:t>ë</w:t>
      </w:r>
      <w:r w:rsidRPr="00D305B9">
        <w:rPr>
          <w:rFonts w:cstheme="minorHAnsi"/>
          <w:color w:val="000000"/>
          <w:sz w:val="24"/>
          <w:szCs w:val="24"/>
        </w:rPr>
        <w:t xml:space="preserve"> theksohet se, çdo hemorragji është një mundësi për të rishikuar zgjedhjen dhe dozimin e duhur të NOAC dhe për të vlerësuar faktorët e rrezikut të modifikueshëm të hemorragjis</w:t>
      </w:r>
      <w:r>
        <w:rPr>
          <w:rFonts w:cstheme="minorHAnsi"/>
          <w:color w:val="000000"/>
          <w:sz w:val="24"/>
          <w:szCs w:val="24"/>
        </w:rPr>
        <w:t>ë</w:t>
      </w:r>
      <w:r w:rsidRPr="00D305B9">
        <w:rPr>
          <w:rFonts w:cstheme="minorHAnsi"/>
          <w:color w:val="000000"/>
          <w:sz w:val="24"/>
          <w:szCs w:val="24"/>
        </w:rPr>
        <w:t>, duke përfshirë hipertensionin e trajtuar në mënyrë jo optimale, marrjen e tepërt të alkoolit dhe terapinë shoqëruese anti</w:t>
      </w:r>
      <w:r>
        <w:rPr>
          <w:rFonts w:cstheme="minorHAnsi"/>
          <w:color w:val="000000"/>
          <w:sz w:val="24"/>
          <w:szCs w:val="24"/>
        </w:rPr>
        <w:t>agregantë</w:t>
      </w:r>
      <w:r w:rsidRPr="00D305B9">
        <w:rPr>
          <w:rFonts w:cstheme="minorHAnsi"/>
          <w:color w:val="000000"/>
          <w:sz w:val="24"/>
          <w:szCs w:val="24"/>
        </w:rPr>
        <w:t xml:space="preserve">, </w:t>
      </w:r>
      <w:r>
        <w:rPr>
          <w:rFonts w:cstheme="minorHAnsi"/>
          <w:color w:val="000000"/>
          <w:sz w:val="24"/>
          <w:szCs w:val="24"/>
        </w:rPr>
        <w:t>antiinflamatorët josteroidikë</w:t>
      </w:r>
      <w:r w:rsidRPr="00D305B9">
        <w:rPr>
          <w:rFonts w:cstheme="minorHAnsi"/>
          <w:color w:val="000000"/>
          <w:sz w:val="24"/>
          <w:szCs w:val="24"/>
        </w:rPr>
        <w:t>, glukokortikoid</w:t>
      </w:r>
      <w:r>
        <w:rPr>
          <w:rFonts w:cstheme="minorHAnsi"/>
          <w:color w:val="000000"/>
          <w:sz w:val="24"/>
          <w:szCs w:val="24"/>
        </w:rPr>
        <w:t>e</w:t>
      </w:r>
      <w:r w:rsidRPr="00D305B9">
        <w:rPr>
          <w:rFonts w:cstheme="minorHAnsi"/>
          <w:color w:val="000000"/>
          <w:sz w:val="24"/>
          <w:szCs w:val="24"/>
        </w:rPr>
        <w:t xml:space="preserve">t etj. </w:t>
      </w:r>
    </w:p>
    <w:p w14:paraId="1356EACE" w14:textId="77777777" w:rsidR="009E1860" w:rsidRPr="00D305B9" w:rsidRDefault="009E1860" w:rsidP="009E1860">
      <w:pPr>
        <w:rPr>
          <w:rFonts w:cstheme="minorHAnsi"/>
          <w:color w:val="000000"/>
          <w:sz w:val="24"/>
          <w:szCs w:val="24"/>
        </w:rPr>
      </w:pPr>
      <w:r w:rsidRPr="00D305B9">
        <w:rPr>
          <w:rFonts w:cstheme="minorHAnsi"/>
          <w:color w:val="000000"/>
          <w:sz w:val="24"/>
          <w:szCs w:val="24"/>
        </w:rPr>
        <w:t>Për të menaxhuar në mënyrë optimale pacientët e trajtuar me NOAC që paraqesin hemorragji, Udh</w:t>
      </w:r>
      <w:r>
        <w:rPr>
          <w:rFonts w:cstheme="minorHAnsi"/>
          <w:color w:val="000000"/>
          <w:sz w:val="24"/>
          <w:szCs w:val="24"/>
        </w:rPr>
        <w:t>ë</w:t>
      </w:r>
      <w:r w:rsidRPr="00D305B9">
        <w:rPr>
          <w:rFonts w:cstheme="minorHAnsi"/>
          <w:color w:val="000000"/>
          <w:sz w:val="24"/>
          <w:szCs w:val="24"/>
        </w:rPr>
        <w:t>zuesi Praktik nga Shoqata Evropiane e Ritmit t</w:t>
      </w:r>
      <w:r>
        <w:rPr>
          <w:rFonts w:cstheme="minorHAnsi"/>
          <w:color w:val="000000"/>
          <w:sz w:val="24"/>
          <w:szCs w:val="24"/>
        </w:rPr>
        <w:t>ë</w:t>
      </w:r>
      <w:r w:rsidRPr="00D305B9">
        <w:rPr>
          <w:rFonts w:cstheme="minorHAnsi"/>
          <w:color w:val="000000"/>
          <w:sz w:val="24"/>
          <w:szCs w:val="24"/>
        </w:rPr>
        <w:t xml:space="preserve"> Zemr</w:t>
      </w:r>
      <w:r>
        <w:rPr>
          <w:rFonts w:cstheme="minorHAnsi"/>
          <w:color w:val="000000"/>
          <w:sz w:val="24"/>
          <w:szCs w:val="24"/>
        </w:rPr>
        <w:t>ë</w:t>
      </w:r>
      <w:r w:rsidRPr="00D305B9">
        <w:rPr>
          <w:rFonts w:cstheme="minorHAnsi"/>
          <w:color w:val="000000"/>
          <w:sz w:val="24"/>
          <w:szCs w:val="24"/>
        </w:rPr>
        <w:t>s, sugjeron fuqimisht zhvillimin e një politike spitalore gjith</w:t>
      </w:r>
      <w:r>
        <w:rPr>
          <w:rFonts w:cstheme="minorHAnsi"/>
          <w:color w:val="000000"/>
          <w:sz w:val="24"/>
          <w:szCs w:val="24"/>
        </w:rPr>
        <w:t>ë</w:t>
      </w: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rfshir</w:t>
      </w:r>
      <w:r>
        <w:rPr>
          <w:rFonts w:cstheme="minorHAnsi"/>
          <w:color w:val="000000"/>
          <w:sz w:val="24"/>
          <w:szCs w:val="24"/>
        </w:rPr>
        <w:t>ë</w:t>
      </w:r>
      <w:r w:rsidRPr="00D305B9">
        <w:rPr>
          <w:rFonts w:cstheme="minorHAnsi"/>
          <w:color w:val="000000"/>
          <w:sz w:val="24"/>
          <w:szCs w:val="24"/>
        </w:rPr>
        <w:t>se, nd</w:t>
      </w:r>
      <w:r>
        <w:rPr>
          <w:rFonts w:cstheme="minorHAnsi"/>
          <w:color w:val="000000"/>
          <w:sz w:val="24"/>
          <w:szCs w:val="24"/>
        </w:rPr>
        <w:t>ë</w:t>
      </w:r>
      <w:r w:rsidRPr="00D305B9">
        <w:rPr>
          <w:rFonts w:cstheme="minorHAnsi"/>
          <w:color w:val="000000"/>
          <w:sz w:val="24"/>
          <w:szCs w:val="24"/>
        </w:rPr>
        <w:t>rdisiplinore midis kardiologëve, ekspertëve të hemostazës, mjekëve të urgjencës/specialistëve të kujdesit intensiv, kirurgëve dhe të tjerëve. Ky protokoll duhet të përshkruajë disponueshmërinë, kohën dhe indikacionet e analizave specifike të koagulimit, si dhe disponueshmërinë dhe përdorimin e agjentëve specifikë dhe jospecifik anullues t</w:t>
      </w:r>
      <w:r>
        <w:rPr>
          <w:rFonts w:cstheme="minorHAnsi"/>
          <w:color w:val="000000"/>
          <w:sz w:val="24"/>
          <w:szCs w:val="24"/>
        </w:rPr>
        <w:t>ë</w:t>
      </w:r>
      <w:r w:rsidRPr="00D305B9">
        <w:rPr>
          <w:rFonts w:cstheme="minorHAnsi"/>
          <w:color w:val="000000"/>
          <w:sz w:val="24"/>
          <w:szCs w:val="24"/>
        </w:rPr>
        <w:t xml:space="preserve"> efektit (antidot</w:t>
      </w:r>
      <w:r>
        <w:rPr>
          <w:rFonts w:cstheme="minorHAnsi"/>
          <w:color w:val="000000"/>
          <w:sz w:val="24"/>
          <w:szCs w:val="24"/>
        </w:rPr>
        <w:t>ë</w:t>
      </w:r>
      <w:r w:rsidRPr="00D305B9">
        <w:rPr>
          <w:rFonts w:cstheme="minorHAnsi"/>
          <w:color w:val="000000"/>
          <w:sz w:val="24"/>
          <w:szCs w:val="24"/>
        </w:rPr>
        <w:t>ve). Një politikë e tillë duhet të komunikohet mirë dhe të jetë lehtësisht e aksesueshme (p.sh. në një faqe intraneti, në dhomën e urgjencës, në fletëpalosje xhepi etj.). Për më tepër, inkurajohet një rishikim dhe diskutim i rregullt ndërdisiplinor i eksperiencave me pacientë q</w:t>
      </w:r>
      <w:r>
        <w:rPr>
          <w:rFonts w:cstheme="minorHAnsi"/>
          <w:color w:val="000000"/>
          <w:sz w:val="24"/>
          <w:szCs w:val="24"/>
        </w:rPr>
        <w:t>ë</w:t>
      </w:r>
      <w:r w:rsidRPr="00D305B9">
        <w:rPr>
          <w:rFonts w:cstheme="minorHAnsi"/>
          <w:color w:val="000000"/>
          <w:sz w:val="24"/>
          <w:szCs w:val="24"/>
        </w:rPr>
        <w:t xml:space="preserve"> p</w:t>
      </w:r>
      <w:r>
        <w:rPr>
          <w:rFonts w:cstheme="minorHAnsi"/>
          <w:color w:val="000000"/>
          <w:sz w:val="24"/>
          <w:szCs w:val="24"/>
        </w:rPr>
        <w:t>ë</w:t>
      </w:r>
      <w:r w:rsidRPr="00D305B9">
        <w:rPr>
          <w:rFonts w:cstheme="minorHAnsi"/>
          <w:color w:val="000000"/>
          <w:sz w:val="24"/>
          <w:szCs w:val="24"/>
        </w:rPr>
        <w:t>rjetojn</w:t>
      </w:r>
      <w:r>
        <w:rPr>
          <w:rFonts w:cstheme="minorHAnsi"/>
          <w:color w:val="000000"/>
          <w:sz w:val="24"/>
          <w:szCs w:val="24"/>
        </w:rPr>
        <w:t>ë</w:t>
      </w:r>
      <w:r w:rsidRPr="00D305B9">
        <w:rPr>
          <w:rFonts w:cstheme="minorHAnsi"/>
          <w:color w:val="000000"/>
          <w:sz w:val="24"/>
          <w:szCs w:val="24"/>
        </w:rPr>
        <w:t xml:space="preserve"> komplikacione serioze hemorragjike (si dhe </w:t>
      </w:r>
      <w:r>
        <w:rPr>
          <w:rFonts w:cstheme="minorHAnsi"/>
          <w:color w:val="000000"/>
          <w:sz w:val="24"/>
          <w:szCs w:val="24"/>
        </w:rPr>
        <w:t>insult cerebral)</w:t>
      </w:r>
      <w:r w:rsidRPr="00D305B9">
        <w:rPr>
          <w:rFonts w:cstheme="minorHAnsi"/>
          <w:color w:val="000000"/>
          <w:sz w:val="24"/>
          <w:szCs w:val="24"/>
        </w:rPr>
        <w:t>, për të ndarë përvoja nga subspecialitete t</w:t>
      </w:r>
      <w:r>
        <w:rPr>
          <w:rFonts w:cstheme="minorHAnsi"/>
          <w:color w:val="000000"/>
          <w:sz w:val="24"/>
          <w:szCs w:val="24"/>
        </w:rPr>
        <w:t>ë</w:t>
      </w:r>
      <w:r w:rsidRPr="00D305B9">
        <w:rPr>
          <w:rFonts w:cstheme="minorHAnsi"/>
          <w:color w:val="000000"/>
          <w:sz w:val="24"/>
          <w:szCs w:val="24"/>
        </w:rPr>
        <w:t xml:space="preserve"> ndryshme si dhe perceptimin e pacientit për ngjarje të tilla.</w:t>
      </w:r>
    </w:p>
    <w:p w14:paraId="087AA33A" w14:textId="77777777" w:rsidR="009E1860" w:rsidRDefault="009E1860" w:rsidP="009E1860">
      <w:pPr>
        <w:rPr>
          <w:rFonts w:cstheme="minorHAnsi"/>
          <w:color w:val="000000"/>
          <w:sz w:val="24"/>
          <w:szCs w:val="24"/>
        </w:rPr>
      </w:pPr>
      <w:r>
        <w:rPr>
          <w:rFonts w:cstheme="minorHAnsi"/>
          <w:color w:val="000000"/>
          <w:sz w:val="24"/>
          <w:szCs w:val="24"/>
        </w:rPr>
        <w:t>Menaxhimi i</w:t>
      </w:r>
      <w:r w:rsidRPr="00D305B9">
        <w:rPr>
          <w:rFonts w:cstheme="minorHAnsi"/>
          <w:color w:val="000000"/>
          <w:sz w:val="24"/>
          <w:szCs w:val="24"/>
        </w:rPr>
        <w:t xml:space="preserve"> komplikacione</w:t>
      </w:r>
      <w:r>
        <w:rPr>
          <w:rFonts w:cstheme="minorHAnsi"/>
          <w:color w:val="000000"/>
          <w:sz w:val="24"/>
          <w:szCs w:val="24"/>
        </w:rPr>
        <w:t xml:space="preserve">ve </w:t>
      </w:r>
      <w:r w:rsidRPr="00D305B9">
        <w:rPr>
          <w:rFonts w:cstheme="minorHAnsi"/>
          <w:color w:val="000000"/>
          <w:sz w:val="24"/>
          <w:szCs w:val="24"/>
        </w:rPr>
        <w:t>hemorragjike në pacientët e trajtuar me NOAC mbështete</w:t>
      </w:r>
      <w:r>
        <w:rPr>
          <w:rFonts w:cstheme="minorHAnsi"/>
          <w:color w:val="000000"/>
          <w:sz w:val="24"/>
          <w:szCs w:val="24"/>
        </w:rPr>
        <w:t>t</w:t>
      </w:r>
      <w:r w:rsidRPr="00D305B9">
        <w:rPr>
          <w:rFonts w:cstheme="minorHAnsi"/>
          <w:color w:val="000000"/>
          <w:sz w:val="24"/>
          <w:szCs w:val="24"/>
        </w:rPr>
        <w:t xml:space="preserve"> në një analizë të saktë të situatës klinike </w:t>
      </w:r>
      <w:r w:rsidRPr="000D2E34">
        <w:rPr>
          <w:rFonts w:cstheme="minorHAnsi"/>
          <w:color w:val="000000"/>
          <w:sz w:val="24"/>
          <w:szCs w:val="24"/>
        </w:rPr>
        <w:t>(</w:t>
      </w:r>
      <w:bookmarkStart w:id="5" w:name="_Hlk91869121"/>
      <w:r w:rsidRPr="000D2E34">
        <w:rPr>
          <w:rFonts w:cstheme="minorHAnsi"/>
          <w:color w:val="000000"/>
          <w:sz w:val="24"/>
          <w:szCs w:val="24"/>
        </w:rPr>
        <w:t>shiko skem</w:t>
      </w:r>
      <w:r>
        <w:rPr>
          <w:rFonts w:cstheme="minorHAnsi"/>
          <w:color w:val="000000"/>
          <w:sz w:val="24"/>
          <w:szCs w:val="24"/>
        </w:rPr>
        <w:t>ë</w:t>
      </w:r>
      <w:r w:rsidRPr="000D2E34">
        <w:rPr>
          <w:rFonts w:cstheme="minorHAnsi"/>
          <w:color w:val="000000"/>
          <w:sz w:val="24"/>
          <w:szCs w:val="24"/>
        </w:rPr>
        <w:t xml:space="preserve">n: </w:t>
      </w:r>
      <w:r>
        <w:rPr>
          <w:rFonts w:cstheme="minorHAnsi"/>
          <w:color w:val="000000"/>
          <w:sz w:val="24"/>
          <w:szCs w:val="24"/>
        </w:rPr>
        <w:t>‘</w:t>
      </w:r>
      <w:r w:rsidRPr="000D2E34">
        <w:rPr>
          <w:rFonts w:cstheme="minorHAnsi"/>
          <w:color w:val="000000"/>
          <w:sz w:val="24"/>
          <w:szCs w:val="24"/>
        </w:rPr>
        <w:t>Menaxhimi i hemorragjis</w:t>
      </w:r>
      <w:r>
        <w:rPr>
          <w:rFonts w:cstheme="minorHAnsi"/>
          <w:color w:val="000000"/>
          <w:sz w:val="24"/>
          <w:szCs w:val="24"/>
        </w:rPr>
        <w:t>ë</w:t>
      </w:r>
      <w:r w:rsidRPr="000D2E34">
        <w:rPr>
          <w:rFonts w:cstheme="minorHAnsi"/>
          <w:color w:val="000000"/>
          <w:sz w:val="24"/>
          <w:szCs w:val="24"/>
        </w:rPr>
        <w:t xml:space="preserve"> n</w:t>
      </w:r>
      <w:r>
        <w:rPr>
          <w:rFonts w:cstheme="minorHAnsi"/>
          <w:color w:val="000000"/>
          <w:sz w:val="24"/>
          <w:szCs w:val="24"/>
        </w:rPr>
        <w:t>ë</w:t>
      </w:r>
      <w:r w:rsidRPr="000D2E34">
        <w:rPr>
          <w:rFonts w:cstheme="minorHAnsi"/>
          <w:color w:val="000000"/>
          <w:sz w:val="24"/>
          <w:szCs w:val="24"/>
        </w:rPr>
        <w:t xml:space="preserve"> pacient</w:t>
      </w:r>
      <w:r>
        <w:rPr>
          <w:rFonts w:cstheme="minorHAnsi"/>
          <w:color w:val="000000"/>
          <w:sz w:val="24"/>
          <w:szCs w:val="24"/>
        </w:rPr>
        <w:t>ë</w:t>
      </w:r>
      <w:r w:rsidRPr="000D2E34">
        <w:rPr>
          <w:rFonts w:cstheme="minorHAnsi"/>
          <w:color w:val="000000"/>
          <w:sz w:val="24"/>
          <w:szCs w:val="24"/>
        </w:rPr>
        <w:t xml:space="preserve"> q</w:t>
      </w:r>
      <w:r>
        <w:rPr>
          <w:rFonts w:cstheme="minorHAnsi"/>
          <w:color w:val="000000"/>
          <w:sz w:val="24"/>
          <w:szCs w:val="24"/>
        </w:rPr>
        <w:t>ë</w:t>
      </w:r>
      <w:r w:rsidRPr="000D2E34">
        <w:rPr>
          <w:rFonts w:cstheme="minorHAnsi"/>
          <w:color w:val="000000"/>
          <w:sz w:val="24"/>
          <w:szCs w:val="24"/>
        </w:rPr>
        <w:t xml:space="preserve"> marrin NOAC</w:t>
      </w:r>
      <w:r>
        <w:rPr>
          <w:rFonts w:cstheme="minorHAnsi"/>
          <w:color w:val="000000"/>
          <w:sz w:val="24"/>
          <w:szCs w:val="24"/>
        </w:rPr>
        <w:t>’</w:t>
      </w:r>
      <w:r w:rsidRPr="000D2E34">
        <w:rPr>
          <w:rFonts w:cstheme="minorHAnsi"/>
          <w:color w:val="000000"/>
          <w:sz w:val="24"/>
          <w:szCs w:val="24"/>
        </w:rPr>
        <w:t>).</w:t>
      </w:r>
      <w:r w:rsidRPr="00D305B9">
        <w:rPr>
          <w:rFonts w:cstheme="minorHAnsi"/>
          <w:color w:val="000000"/>
          <w:sz w:val="24"/>
          <w:szCs w:val="24"/>
        </w:rPr>
        <w:t xml:space="preserve"> </w:t>
      </w:r>
    </w:p>
    <w:bookmarkEnd w:id="5"/>
    <w:p w14:paraId="63D498FF" w14:textId="77777777" w:rsidR="009E1860" w:rsidRDefault="009E1860" w:rsidP="009E1860">
      <w:pPr>
        <w:rPr>
          <w:rFonts w:cstheme="minorHAnsi"/>
          <w:color w:val="000000"/>
          <w:sz w:val="24"/>
          <w:szCs w:val="24"/>
        </w:rPr>
      </w:pPr>
    </w:p>
    <w:p w14:paraId="6DFE5FED" w14:textId="77777777" w:rsidR="009E1860" w:rsidRDefault="009E1860" w:rsidP="009E1860">
      <w:pPr>
        <w:rPr>
          <w:rFonts w:cstheme="minorHAnsi"/>
          <w:color w:val="000000"/>
          <w:sz w:val="24"/>
          <w:szCs w:val="24"/>
        </w:rPr>
      </w:pPr>
    </w:p>
    <w:p w14:paraId="52B2F983" w14:textId="77777777" w:rsidR="009E1860" w:rsidRDefault="009E1860" w:rsidP="009E1860">
      <w:pPr>
        <w:rPr>
          <w:rFonts w:cstheme="minorHAnsi"/>
          <w:color w:val="000000"/>
          <w:sz w:val="24"/>
          <w:szCs w:val="24"/>
        </w:rPr>
      </w:pPr>
    </w:p>
    <w:p w14:paraId="371AFE84" w14:textId="77777777" w:rsidR="009E1860" w:rsidRDefault="009E1860" w:rsidP="009E1860">
      <w:pPr>
        <w:rPr>
          <w:rFonts w:cstheme="minorHAnsi"/>
          <w:color w:val="000000"/>
          <w:sz w:val="24"/>
          <w:szCs w:val="24"/>
        </w:rPr>
      </w:pPr>
    </w:p>
    <w:p w14:paraId="21A2E552" w14:textId="77777777" w:rsidR="009E1860" w:rsidRDefault="009E1860" w:rsidP="009E1860">
      <w:pPr>
        <w:rPr>
          <w:rFonts w:cstheme="minorHAnsi"/>
          <w:color w:val="000000"/>
          <w:sz w:val="24"/>
          <w:szCs w:val="24"/>
        </w:rPr>
      </w:pPr>
    </w:p>
    <w:p w14:paraId="01444CB1" w14:textId="77777777" w:rsidR="009E1860" w:rsidRDefault="009E1860" w:rsidP="009E1860">
      <w:pPr>
        <w:rPr>
          <w:rFonts w:cstheme="minorHAnsi"/>
          <w:color w:val="000000"/>
          <w:sz w:val="24"/>
          <w:szCs w:val="24"/>
        </w:rPr>
      </w:pPr>
    </w:p>
    <w:p w14:paraId="343EC3DF" w14:textId="77777777" w:rsidR="009E1860" w:rsidRPr="000D2E34" w:rsidRDefault="009E1860" w:rsidP="009E1860">
      <w:pPr>
        <w:rPr>
          <w:rFonts w:cstheme="minorHAnsi"/>
          <w:b/>
          <w:bCs/>
          <w:color w:val="000000"/>
          <w:sz w:val="24"/>
          <w:szCs w:val="24"/>
        </w:rPr>
      </w:pPr>
      <w:r>
        <w:rPr>
          <w:rFonts w:cstheme="minorHAnsi"/>
          <w:b/>
          <w:bCs/>
          <w:color w:val="000000"/>
          <w:sz w:val="24"/>
          <w:szCs w:val="24"/>
        </w:rPr>
        <w:t xml:space="preserve">                          </w:t>
      </w:r>
      <w:r w:rsidRPr="000D2E34">
        <w:rPr>
          <w:rFonts w:cstheme="minorHAnsi"/>
          <w:b/>
          <w:bCs/>
          <w:color w:val="000000"/>
          <w:sz w:val="24"/>
          <w:szCs w:val="24"/>
        </w:rPr>
        <w:t>Menaxhimi i hemorragjis</w:t>
      </w:r>
      <w:r>
        <w:rPr>
          <w:rFonts w:cstheme="minorHAnsi"/>
          <w:b/>
          <w:bCs/>
          <w:color w:val="000000"/>
          <w:sz w:val="24"/>
          <w:szCs w:val="24"/>
        </w:rPr>
        <w:t>ë</w:t>
      </w:r>
      <w:r w:rsidRPr="000D2E34">
        <w:rPr>
          <w:rFonts w:cstheme="minorHAnsi"/>
          <w:b/>
          <w:bCs/>
          <w:color w:val="000000"/>
          <w:sz w:val="24"/>
          <w:szCs w:val="24"/>
        </w:rPr>
        <w:t xml:space="preserve"> n</w:t>
      </w:r>
      <w:r>
        <w:rPr>
          <w:rFonts w:cstheme="minorHAnsi"/>
          <w:b/>
          <w:bCs/>
          <w:color w:val="000000"/>
          <w:sz w:val="24"/>
          <w:szCs w:val="24"/>
        </w:rPr>
        <w:t>ë</w:t>
      </w:r>
      <w:r w:rsidRPr="000D2E34">
        <w:rPr>
          <w:rFonts w:cstheme="minorHAnsi"/>
          <w:b/>
          <w:bCs/>
          <w:color w:val="000000"/>
          <w:sz w:val="24"/>
          <w:szCs w:val="24"/>
        </w:rPr>
        <w:t xml:space="preserve"> pacient</w:t>
      </w:r>
      <w:r>
        <w:rPr>
          <w:rFonts w:cstheme="minorHAnsi"/>
          <w:b/>
          <w:bCs/>
          <w:color w:val="000000"/>
          <w:sz w:val="24"/>
          <w:szCs w:val="24"/>
        </w:rPr>
        <w:t>ë</w:t>
      </w:r>
      <w:r w:rsidRPr="000D2E34">
        <w:rPr>
          <w:rFonts w:cstheme="minorHAnsi"/>
          <w:b/>
          <w:bCs/>
          <w:color w:val="000000"/>
          <w:sz w:val="24"/>
          <w:szCs w:val="24"/>
        </w:rPr>
        <w:t xml:space="preserve"> q</w:t>
      </w:r>
      <w:r>
        <w:rPr>
          <w:rFonts w:cstheme="minorHAnsi"/>
          <w:b/>
          <w:bCs/>
          <w:color w:val="000000"/>
          <w:sz w:val="24"/>
          <w:szCs w:val="24"/>
        </w:rPr>
        <w:t>ë</w:t>
      </w:r>
      <w:r w:rsidRPr="000D2E34">
        <w:rPr>
          <w:rFonts w:cstheme="minorHAnsi"/>
          <w:b/>
          <w:bCs/>
          <w:color w:val="000000"/>
          <w:sz w:val="24"/>
          <w:szCs w:val="24"/>
        </w:rPr>
        <w:t xml:space="preserve"> marrin NOAC</w:t>
      </w:r>
    </w:p>
    <w:p w14:paraId="66ED03DF" w14:textId="77777777" w:rsidR="009E1860" w:rsidRDefault="009E1860" w:rsidP="009E1860">
      <w:pPr>
        <w:rPr>
          <w:rFonts w:cstheme="minorHAnsi"/>
          <w:color w:val="000000"/>
          <w:sz w:val="24"/>
          <w:szCs w:val="24"/>
        </w:rPr>
      </w:pPr>
      <w:r>
        <w:rPr>
          <w:noProof/>
        </w:rPr>
        <w:drawing>
          <wp:inline distT="0" distB="0" distL="0" distR="0" wp14:anchorId="33A34153" wp14:editId="190DEEB6">
            <wp:extent cx="5937250" cy="3635297"/>
            <wp:effectExtent l="0" t="0" r="635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8944" cy="3636334"/>
                    </a:xfrm>
                    <a:prstGeom prst="rect">
                      <a:avLst/>
                    </a:prstGeom>
                  </pic:spPr>
                </pic:pic>
              </a:graphicData>
            </a:graphic>
          </wp:inline>
        </w:drawing>
      </w:r>
    </w:p>
    <w:p w14:paraId="2DBA80C1" w14:textId="77777777" w:rsidR="009E1860" w:rsidRDefault="009E1860" w:rsidP="009E1860">
      <w:pPr>
        <w:rPr>
          <w:rFonts w:cstheme="minorHAnsi"/>
          <w:color w:val="000000"/>
          <w:sz w:val="24"/>
          <w:szCs w:val="24"/>
        </w:rPr>
      </w:pPr>
      <w:r>
        <w:rPr>
          <w:rFonts w:cstheme="minorHAnsi"/>
          <w:noProof/>
          <w:color w:val="000000"/>
          <w:sz w:val="24"/>
          <w:szCs w:val="24"/>
        </w:rPr>
        <mc:AlternateContent>
          <mc:Choice Requires="wps">
            <w:drawing>
              <wp:anchor distT="0" distB="0" distL="114300" distR="114300" simplePos="0" relativeHeight="251659264" behindDoc="0" locked="0" layoutInCell="1" allowOverlap="1" wp14:anchorId="468B82A0" wp14:editId="711F0B0A">
                <wp:simplePos x="0" y="0"/>
                <wp:positionH relativeFrom="margin">
                  <wp:align>right</wp:align>
                </wp:positionH>
                <wp:positionV relativeFrom="paragraph">
                  <wp:posOffset>182880</wp:posOffset>
                </wp:positionV>
                <wp:extent cx="5924550" cy="1631950"/>
                <wp:effectExtent l="0" t="0" r="19050" b="25400"/>
                <wp:wrapNone/>
                <wp:docPr id="8" name="Rectangle 8"/>
                <wp:cNvGraphicFramePr/>
                <a:graphic xmlns:a="http://schemas.openxmlformats.org/drawingml/2006/main">
                  <a:graphicData uri="http://schemas.microsoft.com/office/word/2010/wordprocessingShape">
                    <wps:wsp>
                      <wps:cNvSpPr/>
                      <wps:spPr>
                        <a:xfrm>
                          <a:off x="0" y="0"/>
                          <a:ext cx="5924550" cy="1631950"/>
                        </a:xfrm>
                        <a:prstGeom prst="rect">
                          <a:avLst/>
                        </a:prstGeom>
                        <a:gradFill rotWithShape="1">
                          <a:gsLst>
                            <a:gs pos="0">
                              <a:srgbClr val="C830CC">
                                <a:lumMod val="110000"/>
                                <a:satMod val="105000"/>
                                <a:tint val="67000"/>
                              </a:srgbClr>
                            </a:gs>
                            <a:gs pos="50000">
                              <a:srgbClr val="C830CC">
                                <a:lumMod val="105000"/>
                                <a:satMod val="103000"/>
                                <a:tint val="73000"/>
                              </a:srgbClr>
                            </a:gs>
                            <a:gs pos="100000">
                              <a:srgbClr val="C830CC">
                                <a:lumMod val="105000"/>
                                <a:satMod val="109000"/>
                                <a:tint val="81000"/>
                              </a:srgbClr>
                            </a:gs>
                          </a:gsLst>
                          <a:lin ang="5400000" scaled="0"/>
                        </a:gradFill>
                        <a:ln w="6350" cap="flat" cmpd="sng" algn="ctr">
                          <a:solidFill>
                            <a:srgbClr val="C830CC"/>
                          </a:solidFill>
                          <a:prstDash val="solid"/>
                          <a:miter lim="800000"/>
                        </a:ln>
                        <a:effectLst/>
                      </wps:spPr>
                      <wps:txbx>
                        <w:txbxContent>
                          <w:p w14:paraId="2FBDD824" w14:textId="77777777" w:rsidR="009E1860" w:rsidRPr="000D2E34" w:rsidRDefault="009E1860" w:rsidP="009E1860">
                            <w:pPr>
                              <w:pStyle w:val="KeinLeerraum"/>
                            </w:pPr>
                            <w:r>
                              <w:t xml:space="preserve"> </w:t>
                            </w:r>
                            <w:r w:rsidRPr="000D2E34">
                              <w:t>Menaxhimi pas hemorragjis</w:t>
                            </w:r>
                            <w:r>
                              <w:t>ë</w:t>
                            </w:r>
                          </w:p>
                          <w:p w14:paraId="2119B891" w14:textId="77777777" w:rsidR="009E1860" w:rsidRDefault="009E1860" w:rsidP="009E1860">
                            <w:pPr>
                              <w:pStyle w:val="KeinLeerraum"/>
                            </w:pPr>
                            <w:r>
                              <w:t>•</w:t>
                            </w:r>
                            <w:r>
                              <w:tab/>
                              <w:t>Diskuto mbi impaktin e hemorragjisë dhe rreziqet e perfitimet e mundëshme të antikoagulimit</w:t>
                            </w:r>
                          </w:p>
                          <w:p w14:paraId="72CA6432" w14:textId="77777777" w:rsidR="009E1860" w:rsidRDefault="009E1860" w:rsidP="009E1860">
                            <w:pPr>
                              <w:pStyle w:val="KeinLeerraum"/>
                            </w:pPr>
                            <w:r>
                              <w:t>•</w:t>
                            </w:r>
                            <w:r>
                              <w:tab/>
                              <w:t>Vlerëso rreziqet e nje hemorragjie të përsëritur</w:t>
                            </w:r>
                          </w:p>
                          <w:p w14:paraId="5972C3FB" w14:textId="77777777" w:rsidR="009E1860" w:rsidRDefault="009E1860" w:rsidP="009E1860">
                            <w:pPr>
                              <w:pStyle w:val="KeinLeerraum"/>
                            </w:pPr>
                            <w:r>
                              <w:t>•</w:t>
                            </w:r>
                            <w:r>
                              <w:tab/>
                              <w:t>Ri-vlerëso faktorët e modifikueshëm të rikut</w:t>
                            </w:r>
                          </w:p>
                          <w:p w14:paraId="22D54ABA" w14:textId="77777777" w:rsidR="009E1860" w:rsidRDefault="009E1860" w:rsidP="009E1860">
                            <w:pPr>
                              <w:pStyle w:val="KeinLeerraum"/>
                            </w:pPr>
                            <w:r>
                              <w:t>•</w:t>
                            </w:r>
                            <w:r>
                              <w:tab/>
                              <w:t xml:space="preserve">Vlereso zgjedhjen e NOAC-ut dhe dozimin </w:t>
                            </w:r>
                          </w:p>
                          <w:p w14:paraId="6BA0938A" w14:textId="77777777" w:rsidR="009E1860" w:rsidRPr="000D2E34" w:rsidRDefault="009E1860" w:rsidP="009E1860">
                            <w:pPr>
                              <w:pStyle w:val="KeinLeerraum"/>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ex="http://schemas.microsoft.com/office/word/2018/wordml/cex">
            <w:pict>
              <v:rect w14:anchorId="468B82A0" id="Rectangle 8" o:spid="_x0000_s1026" style="position:absolute;margin-left:415.3pt;margin-top:14.4pt;width:466.5pt;height:128.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" fillcolor="#e2a2e5" strokecolor="#c830cc" strokeweight=".5pt">
                <v:fill color2="#dc80df" rotate="t" colors="0 #e2a2e5;.5 #dd94e0;1 #dc80df" focus="100%" type="gradient">
                  <o:fill v:ext="view" type="gradientUnscaled"/>
                </v:fill>
                <v:textbox>
                  <w:txbxContent>
                    <w:p w14:paraId="2FBDD824" w14:textId="77777777" w:rsidR="009E1860" w:rsidRPr="000D2E34" w:rsidRDefault="009E1860" w:rsidP="009E1860">
                      <w:pPr>
                        <w:pStyle w:val="NoSpacing"/>
                      </w:pPr>
                      <w:r>
                        <w:t xml:space="preserve"> </w:t>
                      </w:r>
                      <w:r w:rsidRPr="000D2E34">
                        <w:t>Menaxhimi pas hemorragjis</w:t>
                      </w:r>
                      <w:r>
                        <w:t>ë</w:t>
                      </w:r>
                    </w:p>
                    <w:p w14:paraId="2119B891" w14:textId="77777777" w:rsidR="009E1860" w:rsidRDefault="009E1860" w:rsidP="009E1860">
                      <w:pPr>
                        <w:pStyle w:val="NoSpacing"/>
                      </w:pPr>
                      <w:r>
                        <w:t>•</w:t>
                      </w:r>
                      <w:r>
                        <w:tab/>
                        <w:t>Diskuto mbi impaktin e hemorragjisë dhe rreziqet e perfitimet e mundëshme të antikoagulimit</w:t>
                      </w:r>
                    </w:p>
                    <w:p w14:paraId="72CA6432" w14:textId="77777777" w:rsidR="009E1860" w:rsidRDefault="009E1860" w:rsidP="009E1860">
                      <w:pPr>
                        <w:pStyle w:val="NoSpacing"/>
                      </w:pPr>
                      <w:r>
                        <w:t>•</w:t>
                      </w:r>
                      <w:r>
                        <w:tab/>
                        <w:t>Vlerëso rreziqet e nje hemorragjie të përsëritur</w:t>
                      </w:r>
                    </w:p>
                    <w:p w14:paraId="5972C3FB" w14:textId="77777777" w:rsidR="009E1860" w:rsidRDefault="009E1860" w:rsidP="009E1860">
                      <w:pPr>
                        <w:pStyle w:val="NoSpacing"/>
                      </w:pPr>
                      <w:r>
                        <w:t>•</w:t>
                      </w:r>
                      <w:r>
                        <w:tab/>
                        <w:t>Ri-vlerëso faktorët e modifikueshëm të rikut</w:t>
                      </w:r>
                    </w:p>
                    <w:p w14:paraId="22D54ABA" w14:textId="77777777" w:rsidR="009E1860" w:rsidRDefault="009E1860" w:rsidP="009E1860">
                      <w:pPr>
                        <w:pStyle w:val="NoSpacing"/>
                      </w:pPr>
                      <w:r>
                        <w:t>•</w:t>
                      </w:r>
                      <w:r>
                        <w:tab/>
                        <w:t xml:space="preserve">Vlereso zgjedhjen e NOAC-ut dhe dozimin </w:t>
                      </w:r>
                    </w:p>
                    <w:p w14:paraId="6BA0938A" w14:textId="77777777" w:rsidR="009E1860" w:rsidRPr="000D2E34" w:rsidRDefault="009E1860" w:rsidP="009E1860">
                      <w:pPr>
                        <w:pStyle w:val="NoSpacing"/>
                        <w:rPr>
                          <w:b/>
                          <w:bCs/>
                        </w:rPr>
                      </w:pPr>
                      <w:r w:rsidRPr="000D2E34">
                        <w:rPr>
                          <w:rFonts w:cstheme="minorHAnsi"/>
                          <w:b/>
                          <w:bCs/>
                        </w:rPr>
                        <w:t>→</w:t>
                      </w:r>
                      <w:r w:rsidRPr="000D2E34">
                        <w:rPr>
                          <w:b/>
                          <w:bCs/>
                        </w:rPr>
                        <w:t>N</w:t>
                      </w:r>
                      <w:r>
                        <w:rPr>
                          <w:b/>
                          <w:bCs/>
                        </w:rPr>
                        <w:t>ë</w:t>
                      </w:r>
                      <w:r w:rsidRPr="000D2E34">
                        <w:rPr>
                          <w:b/>
                          <w:bCs/>
                        </w:rPr>
                        <w:t xml:space="preserve"> munges</w:t>
                      </w:r>
                      <w:r>
                        <w:rPr>
                          <w:b/>
                          <w:bCs/>
                        </w:rPr>
                        <w:t>ë</w:t>
                      </w:r>
                      <w:r w:rsidRPr="000D2E34">
                        <w:rPr>
                          <w:b/>
                          <w:bCs/>
                        </w:rPr>
                        <w:t xml:space="preserve"> t</w:t>
                      </w:r>
                      <w:r>
                        <w:rPr>
                          <w:b/>
                          <w:bCs/>
                        </w:rPr>
                        <w:t>ë</w:t>
                      </w:r>
                      <w:r w:rsidRPr="000D2E34">
                        <w:rPr>
                          <w:b/>
                          <w:bCs/>
                        </w:rPr>
                        <w:t xml:space="preserve"> kund</w:t>
                      </w:r>
                      <w:r>
                        <w:rPr>
                          <w:b/>
                          <w:bCs/>
                        </w:rPr>
                        <w:t>ë</w:t>
                      </w:r>
                      <w:r w:rsidRPr="000D2E34">
                        <w:rPr>
                          <w:b/>
                          <w:bCs/>
                        </w:rPr>
                        <w:t xml:space="preserve">rindikacionit absolut, rifillo antikoagulimin </w:t>
                      </w:r>
                    </w:p>
                  </w:txbxContent>
                </v:textbox>
                <w10:wrap anchorx="margin"/>
              </v:rect>
            </w:pict>
          </mc:Fallback>
        </mc:AlternateContent>
      </w:r>
    </w:p>
    <w:p w14:paraId="66EA3C22" w14:textId="77777777" w:rsidR="009E1860" w:rsidRDefault="009E1860" w:rsidP="009E1860">
      <w:pPr>
        <w:rPr>
          <w:rFonts w:cstheme="minorHAnsi"/>
          <w:color w:val="000000"/>
          <w:sz w:val="24"/>
          <w:szCs w:val="24"/>
        </w:rPr>
      </w:pPr>
    </w:p>
    <w:p w14:paraId="4311E441" w14:textId="77777777" w:rsidR="009E1860" w:rsidRDefault="009E1860" w:rsidP="009E1860">
      <w:pPr>
        <w:rPr>
          <w:rFonts w:cstheme="minorHAnsi"/>
          <w:color w:val="000000"/>
          <w:sz w:val="24"/>
          <w:szCs w:val="24"/>
        </w:rPr>
      </w:pPr>
    </w:p>
    <w:p w14:paraId="206E6DC7" w14:textId="77777777" w:rsidR="009E1860" w:rsidRDefault="009E1860" w:rsidP="009E1860">
      <w:pPr>
        <w:rPr>
          <w:rFonts w:cstheme="minorHAnsi"/>
          <w:color w:val="000000"/>
          <w:sz w:val="24"/>
          <w:szCs w:val="24"/>
        </w:rPr>
      </w:pPr>
    </w:p>
    <w:p w14:paraId="47762ECE" w14:textId="77777777" w:rsidR="009E1860" w:rsidRDefault="009E1860" w:rsidP="009E1860">
      <w:pPr>
        <w:rPr>
          <w:rFonts w:cstheme="minorHAnsi"/>
          <w:color w:val="000000"/>
          <w:sz w:val="24"/>
          <w:szCs w:val="24"/>
        </w:rPr>
      </w:pPr>
    </w:p>
    <w:p w14:paraId="1BEE6191" w14:textId="77777777" w:rsidR="009E1860" w:rsidRDefault="009E1860" w:rsidP="009E1860">
      <w:pPr>
        <w:rPr>
          <w:rFonts w:cstheme="minorHAnsi"/>
          <w:color w:val="000000"/>
          <w:sz w:val="24"/>
          <w:szCs w:val="24"/>
        </w:rPr>
      </w:pPr>
    </w:p>
    <w:p w14:paraId="2321AB27" w14:textId="77777777" w:rsidR="009E1860" w:rsidRDefault="009E1860" w:rsidP="009E1860">
      <w:pPr>
        <w:rPr>
          <w:rFonts w:cstheme="minorHAnsi"/>
          <w:color w:val="000000"/>
          <w:sz w:val="24"/>
          <w:szCs w:val="24"/>
        </w:rPr>
      </w:pPr>
    </w:p>
    <w:p w14:paraId="5DAFC8D7" w14:textId="77777777" w:rsidR="009E1860" w:rsidRDefault="009E1860" w:rsidP="009E1860">
      <w:pPr>
        <w:rPr>
          <w:rFonts w:cstheme="minorHAnsi"/>
          <w:color w:val="000000"/>
          <w:sz w:val="24"/>
          <w:szCs w:val="24"/>
        </w:rPr>
      </w:pPr>
      <w:r>
        <w:rPr>
          <w:rFonts w:cstheme="minorHAnsi"/>
          <w:color w:val="000000"/>
          <w:sz w:val="24"/>
          <w:szCs w:val="24"/>
        </w:rPr>
        <w:t>Duhet të kryhen vlerësimet e më poshtme:</w:t>
      </w:r>
    </w:p>
    <w:p w14:paraId="3BB8B97F" w14:textId="77777777" w:rsidR="009E1860" w:rsidRPr="00D305B9" w:rsidRDefault="009E1860" w:rsidP="009E1860">
      <w:pPr>
        <w:rPr>
          <w:rFonts w:cstheme="minorHAnsi"/>
          <w:color w:val="000000"/>
          <w:sz w:val="24"/>
          <w:szCs w:val="24"/>
        </w:rPr>
      </w:pPr>
    </w:p>
    <w:p w14:paraId="38B10B5D" w14:textId="77777777" w:rsidR="009E1860" w:rsidRPr="00D305B9" w:rsidRDefault="009E1860" w:rsidP="009E1860">
      <w:pPr>
        <w:rPr>
          <w:rFonts w:cstheme="minorHAnsi"/>
          <w:color w:val="000000"/>
          <w:sz w:val="24"/>
          <w:szCs w:val="24"/>
        </w:rPr>
      </w:pPr>
      <w:r w:rsidRPr="00D305B9">
        <w:rPr>
          <w:rFonts w:cstheme="minorHAnsi"/>
          <w:color w:val="000000"/>
          <w:sz w:val="24"/>
          <w:szCs w:val="24"/>
        </w:rPr>
        <w:t>(1)</w:t>
      </w:r>
      <w:r w:rsidRPr="00D305B9">
        <w:rPr>
          <w:rFonts w:cstheme="minorHAnsi"/>
          <w:color w:val="000000"/>
          <w:sz w:val="24"/>
          <w:szCs w:val="24"/>
        </w:rPr>
        <w:tab/>
        <w:t>Lloji i hemorragjis</w:t>
      </w:r>
      <w:r>
        <w:rPr>
          <w:rFonts w:cstheme="minorHAnsi"/>
          <w:color w:val="000000"/>
          <w:sz w:val="24"/>
          <w:szCs w:val="24"/>
        </w:rPr>
        <w:t>ë</w:t>
      </w:r>
      <w:r w:rsidRPr="00D305B9">
        <w:rPr>
          <w:rFonts w:cstheme="minorHAnsi"/>
          <w:color w:val="000000"/>
          <w:sz w:val="24"/>
          <w:szCs w:val="24"/>
        </w:rPr>
        <w:t xml:space="preserve">: minor/i vogël, madhor jo-kërcënues për jetën ose kërcënues për jetën. </w:t>
      </w:r>
    </w:p>
    <w:p w14:paraId="7B0DBA8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Bazuar në gjykimin klinik – duke përfshirë vendndodhjen, shtrirjen, moshën e pacientit, sëmundjet</w:t>
      </w:r>
      <w:r>
        <w:rPr>
          <w:rFonts w:cstheme="minorHAnsi"/>
          <w:color w:val="000000"/>
          <w:sz w:val="24"/>
          <w:szCs w:val="24"/>
        </w:rPr>
        <w:t xml:space="preserve"> </w:t>
      </w:r>
      <w:r w:rsidRPr="00D305B9">
        <w:rPr>
          <w:rFonts w:cstheme="minorHAnsi"/>
          <w:color w:val="000000"/>
          <w:sz w:val="24"/>
          <w:szCs w:val="24"/>
        </w:rPr>
        <w:t>shoqëruese,</w:t>
      </w:r>
    </w:p>
    <w:p w14:paraId="58BA0C1C" w14:textId="77777777" w:rsidR="009E1860" w:rsidRPr="00D305B9" w:rsidRDefault="009E1860" w:rsidP="009E1860">
      <w:pPr>
        <w:rPr>
          <w:rFonts w:cstheme="minorHAnsi"/>
          <w:color w:val="000000"/>
          <w:sz w:val="24"/>
          <w:szCs w:val="24"/>
        </w:rPr>
      </w:pPr>
      <w:r w:rsidRPr="00D305B9">
        <w:rPr>
          <w:rFonts w:cstheme="minorHAnsi"/>
          <w:color w:val="000000"/>
          <w:sz w:val="24"/>
          <w:szCs w:val="24"/>
        </w:rPr>
        <w:t>– Mund</w:t>
      </w:r>
      <w:r>
        <w:rPr>
          <w:rFonts w:cstheme="minorHAnsi"/>
          <w:color w:val="000000"/>
          <w:sz w:val="24"/>
          <w:szCs w:val="24"/>
        </w:rPr>
        <w:t>ë</w:t>
      </w:r>
      <w:r w:rsidRPr="00D305B9">
        <w:rPr>
          <w:rFonts w:cstheme="minorHAnsi"/>
          <w:color w:val="000000"/>
          <w:sz w:val="24"/>
          <w:szCs w:val="24"/>
        </w:rPr>
        <w:t>sisht i mbështetur nga përkufizimet 'zyrtare' të hemorragjise [p.sh. TIMI, Shoqata Ndërkombëtare e Trombozës dhe Hemostazës (ISTH),</w:t>
      </w:r>
      <w:r>
        <w:rPr>
          <w:rFonts w:cstheme="minorHAnsi"/>
          <w:color w:val="000000"/>
          <w:sz w:val="24"/>
          <w:szCs w:val="24"/>
        </w:rPr>
        <w:t xml:space="preserve"> </w:t>
      </w:r>
      <w:r w:rsidRPr="00D305B9">
        <w:rPr>
          <w:rFonts w:cstheme="minorHAnsi"/>
          <w:color w:val="000000"/>
          <w:sz w:val="24"/>
          <w:szCs w:val="24"/>
        </w:rPr>
        <w:t>GUSTO, ose të tjera]</w:t>
      </w:r>
    </w:p>
    <w:p w14:paraId="746F6F33" w14:textId="77777777" w:rsidR="009E1860" w:rsidRPr="00D305B9" w:rsidRDefault="009E1860" w:rsidP="009E1860">
      <w:pPr>
        <w:rPr>
          <w:rFonts w:cstheme="minorHAnsi"/>
          <w:color w:val="000000"/>
          <w:sz w:val="24"/>
          <w:szCs w:val="24"/>
        </w:rPr>
      </w:pPr>
    </w:p>
    <w:p w14:paraId="720A0058" w14:textId="77777777" w:rsidR="009E1860" w:rsidRPr="00D305B9" w:rsidRDefault="009E1860" w:rsidP="009E1860">
      <w:pPr>
        <w:rPr>
          <w:rFonts w:cstheme="minorHAnsi"/>
          <w:color w:val="000000"/>
          <w:sz w:val="24"/>
          <w:szCs w:val="24"/>
        </w:rPr>
      </w:pPr>
      <w:r w:rsidRPr="00D305B9">
        <w:rPr>
          <w:rFonts w:cstheme="minorHAnsi"/>
          <w:color w:val="000000"/>
          <w:sz w:val="24"/>
          <w:szCs w:val="24"/>
        </w:rPr>
        <w:t>(2)</w:t>
      </w:r>
      <w:r w:rsidRPr="00D305B9">
        <w:rPr>
          <w:rFonts w:cstheme="minorHAnsi"/>
          <w:color w:val="000000"/>
          <w:sz w:val="24"/>
          <w:szCs w:val="24"/>
        </w:rPr>
        <w:tab/>
      </w:r>
      <w:r>
        <w:rPr>
          <w:rFonts w:cstheme="minorHAnsi"/>
          <w:color w:val="000000"/>
          <w:sz w:val="24"/>
          <w:szCs w:val="24"/>
        </w:rPr>
        <w:t>Vlerësimi i p</w:t>
      </w:r>
      <w:r w:rsidRPr="00D305B9">
        <w:rPr>
          <w:rFonts w:cstheme="minorHAnsi"/>
          <w:color w:val="000000"/>
          <w:sz w:val="24"/>
          <w:szCs w:val="24"/>
        </w:rPr>
        <w:t>acienti dhe trajtimi i tij/</w:t>
      </w:r>
      <w:r>
        <w:rPr>
          <w:rFonts w:cstheme="minorHAnsi"/>
          <w:color w:val="000000"/>
          <w:sz w:val="24"/>
          <w:szCs w:val="24"/>
        </w:rPr>
        <w:t xml:space="preserve">I </w:t>
      </w:r>
      <w:r w:rsidRPr="00D305B9">
        <w:rPr>
          <w:rFonts w:cstheme="minorHAnsi"/>
          <w:color w:val="000000"/>
          <w:sz w:val="24"/>
          <w:szCs w:val="24"/>
        </w:rPr>
        <w:t>saj, duke përfshirë:</w:t>
      </w:r>
    </w:p>
    <w:p w14:paraId="04BC23E3" w14:textId="77777777" w:rsidR="009E1860" w:rsidRPr="00D305B9" w:rsidRDefault="009E1860" w:rsidP="009E1860">
      <w:pPr>
        <w:rPr>
          <w:rFonts w:cstheme="minorHAnsi"/>
          <w:color w:val="000000"/>
          <w:sz w:val="24"/>
          <w:szCs w:val="24"/>
        </w:rPr>
      </w:pPr>
      <w:r w:rsidRPr="00D305B9">
        <w:rPr>
          <w:rFonts w:cstheme="minorHAnsi"/>
          <w:color w:val="000000"/>
          <w:sz w:val="24"/>
          <w:szCs w:val="24"/>
        </w:rPr>
        <w:t>– Kohën e saktë të marrjes së doz</w:t>
      </w:r>
      <w:r>
        <w:rPr>
          <w:rFonts w:cstheme="minorHAnsi"/>
          <w:color w:val="000000"/>
          <w:sz w:val="24"/>
          <w:szCs w:val="24"/>
        </w:rPr>
        <w:t>ë</w:t>
      </w:r>
      <w:r w:rsidRPr="00D305B9">
        <w:rPr>
          <w:rFonts w:cstheme="minorHAnsi"/>
          <w:color w:val="000000"/>
          <w:sz w:val="24"/>
          <w:szCs w:val="24"/>
        </w:rPr>
        <w:t>s s</w:t>
      </w:r>
      <w:r>
        <w:rPr>
          <w:rFonts w:cstheme="minorHAnsi"/>
          <w:color w:val="000000"/>
          <w:sz w:val="24"/>
          <w:szCs w:val="24"/>
        </w:rPr>
        <w:t>ë</w:t>
      </w:r>
      <w:r w:rsidRPr="00D305B9">
        <w:rPr>
          <w:rFonts w:cstheme="minorHAnsi"/>
          <w:color w:val="000000"/>
          <w:sz w:val="24"/>
          <w:szCs w:val="24"/>
        </w:rPr>
        <w:t xml:space="preserve"> fundit të NOAC </w:t>
      </w:r>
    </w:p>
    <w:p w14:paraId="40B96EF1"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Regjimin e përshkruar të dozimit    </w:t>
      </w:r>
    </w:p>
    <w:p w14:paraId="24E1E53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Funksionin renal </w:t>
      </w:r>
    </w:p>
    <w:p w14:paraId="0923951A" w14:textId="77777777" w:rsidR="009E1860" w:rsidRPr="00D305B9" w:rsidRDefault="009E1860" w:rsidP="009E1860">
      <w:pPr>
        <w:rPr>
          <w:rFonts w:cstheme="minorHAnsi"/>
          <w:color w:val="000000"/>
          <w:sz w:val="24"/>
          <w:szCs w:val="24"/>
        </w:rPr>
      </w:pPr>
      <w:r w:rsidRPr="00D305B9">
        <w:rPr>
          <w:rFonts w:cstheme="minorHAnsi"/>
          <w:color w:val="000000"/>
          <w:sz w:val="24"/>
          <w:szCs w:val="24"/>
        </w:rPr>
        <w:t>– Faktorë të tjerë që ndikojnë në përq</w:t>
      </w:r>
      <w:r>
        <w:rPr>
          <w:rFonts w:cstheme="minorHAnsi"/>
          <w:color w:val="000000"/>
          <w:sz w:val="24"/>
          <w:szCs w:val="24"/>
        </w:rPr>
        <w:t>ë</w:t>
      </w:r>
      <w:r w:rsidRPr="00D305B9">
        <w:rPr>
          <w:rFonts w:cstheme="minorHAnsi"/>
          <w:color w:val="000000"/>
          <w:sz w:val="24"/>
          <w:szCs w:val="24"/>
        </w:rPr>
        <w:t>ndrimet plazmatike (p.sh. funksioni</w:t>
      </w:r>
      <w:r>
        <w:rPr>
          <w:rFonts w:cstheme="minorHAnsi"/>
          <w:color w:val="000000"/>
          <w:sz w:val="24"/>
          <w:szCs w:val="24"/>
        </w:rPr>
        <w:t>n</w:t>
      </w:r>
      <w:r w:rsidRPr="00D305B9">
        <w:rPr>
          <w:rFonts w:cstheme="minorHAnsi"/>
          <w:color w:val="000000"/>
          <w:sz w:val="24"/>
          <w:szCs w:val="24"/>
        </w:rPr>
        <w:t xml:space="preserve"> hepatik, barnat shoqeruese etj.)</w:t>
      </w:r>
    </w:p>
    <w:p w14:paraId="351BAE4F"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Faktorë të tjerë që ndikojnë </w:t>
      </w:r>
      <w:r>
        <w:rPr>
          <w:rFonts w:cstheme="minorHAnsi"/>
          <w:color w:val="000000"/>
          <w:sz w:val="24"/>
          <w:szCs w:val="24"/>
        </w:rPr>
        <w:t xml:space="preserve">në </w:t>
      </w:r>
      <w:r w:rsidRPr="00D305B9">
        <w:rPr>
          <w:rFonts w:cstheme="minorHAnsi"/>
          <w:color w:val="000000"/>
          <w:sz w:val="24"/>
          <w:szCs w:val="24"/>
        </w:rPr>
        <w:t>hemostaz</w:t>
      </w:r>
      <w:r>
        <w:rPr>
          <w:rFonts w:cstheme="minorHAnsi"/>
          <w:color w:val="000000"/>
          <w:sz w:val="24"/>
          <w:szCs w:val="24"/>
        </w:rPr>
        <w:t>ë</w:t>
      </w:r>
      <w:r w:rsidRPr="00D305B9">
        <w:rPr>
          <w:rFonts w:cstheme="minorHAnsi"/>
          <w:color w:val="000000"/>
          <w:sz w:val="24"/>
          <w:szCs w:val="24"/>
        </w:rPr>
        <w:t xml:space="preserve"> (p.sh. përdorimi i njëkohshëm i barnave anti</w:t>
      </w:r>
      <w:r>
        <w:rPr>
          <w:rFonts w:cstheme="minorHAnsi"/>
          <w:color w:val="000000"/>
          <w:sz w:val="24"/>
          <w:szCs w:val="24"/>
        </w:rPr>
        <w:t>trombocitare</w:t>
      </w:r>
      <w:r w:rsidRPr="00D305B9">
        <w:rPr>
          <w:rFonts w:cstheme="minorHAnsi"/>
          <w:color w:val="000000"/>
          <w:sz w:val="24"/>
          <w:szCs w:val="24"/>
        </w:rPr>
        <w:t xml:space="preserve">). </w:t>
      </w:r>
    </w:p>
    <w:p w14:paraId="01FAD875" w14:textId="77777777" w:rsidR="009E1860" w:rsidRPr="00D305B9" w:rsidRDefault="009E1860" w:rsidP="009E1860">
      <w:pPr>
        <w:rPr>
          <w:rFonts w:cstheme="minorHAnsi"/>
          <w:color w:val="000000"/>
          <w:sz w:val="24"/>
          <w:szCs w:val="24"/>
        </w:rPr>
      </w:pPr>
    </w:p>
    <w:p w14:paraId="0F4EA61F" w14:textId="77777777" w:rsidR="009E1860" w:rsidRPr="00D305B9" w:rsidRDefault="009E1860" w:rsidP="009E1860">
      <w:pPr>
        <w:rPr>
          <w:rFonts w:cstheme="minorHAnsi"/>
          <w:color w:val="000000"/>
          <w:sz w:val="24"/>
          <w:szCs w:val="24"/>
        </w:rPr>
      </w:pPr>
      <w:r w:rsidRPr="00D305B9">
        <w:rPr>
          <w:rFonts w:cstheme="minorHAnsi"/>
          <w:color w:val="000000"/>
          <w:sz w:val="24"/>
          <w:szCs w:val="24"/>
        </w:rPr>
        <w:t>(3)</w:t>
      </w:r>
      <w:r w:rsidRPr="00D305B9">
        <w:rPr>
          <w:rFonts w:cstheme="minorHAnsi"/>
          <w:color w:val="000000"/>
          <w:sz w:val="24"/>
          <w:szCs w:val="24"/>
        </w:rPr>
        <w:tab/>
        <w:t>Rreziku tromboembolik i pacientit</w:t>
      </w:r>
    </w:p>
    <w:p w14:paraId="5747ADC8"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 – Veçanërisht kur merret në konsideratë përdorimi i agjentëve protrombotikë edhe në lidhje me domosdoshmërinë e rifillimit (të hershëm) të terapisë antikoagulante</w:t>
      </w:r>
      <w:r>
        <w:rPr>
          <w:rFonts w:cstheme="minorHAnsi"/>
          <w:color w:val="000000"/>
          <w:sz w:val="24"/>
          <w:szCs w:val="24"/>
        </w:rPr>
        <w:t>.</w:t>
      </w:r>
    </w:p>
    <w:p w14:paraId="73E2BD2D" w14:textId="77777777" w:rsidR="009E1860" w:rsidRPr="00D305B9" w:rsidRDefault="009E1860" w:rsidP="009E1860">
      <w:pPr>
        <w:rPr>
          <w:rFonts w:cstheme="minorHAnsi"/>
          <w:color w:val="000000"/>
          <w:sz w:val="24"/>
          <w:szCs w:val="24"/>
        </w:rPr>
      </w:pPr>
    </w:p>
    <w:p w14:paraId="5C805A49" w14:textId="77777777" w:rsidR="009E1860" w:rsidRDefault="009E1860" w:rsidP="009E1860">
      <w:pPr>
        <w:rPr>
          <w:rFonts w:cstheme="minorHAnsi"/>
          <w:color w:val="000000"/>
          <w:sz w:val="24"/>
          <w:szCs w:val="24"/>
        </w:rPr>
      </w:pPr>
      <w:r>
        <w:rPr>
          <w:rFonts w:cstheme="minorHAnsi"/>
          <w:color w:val="000000"/>
          <w:sz w:val="24"/>
          <w:szCs w:val="24"/>
        </w:rPr>
        <w:t xml:space="preserve">Si analizat </w:t>
      </w:r>
      <w:r w:rsidRPr="00D305B9">
        <w:rPr>
          <w:rFonts w:cstheme="minorHAnsi"/>
          <w:color w:val="000000"/>
          <w:sz w:val="24"/>
          <w:szCs w:val="24"/>
        </w:rPr>
        <w:t xml:space="preserve">rutinë të koagulimit </w:t>
      </w:r>
      <w:r>
        <w:rPr>
          <w:rFonts w:cstheme="minorHAnsi"/>
          <w:color w:val="000000"/>
          <w:sz w:val="24"/>
          <w:szCs w:val="24"/>
        </w:rPr>
        <w:t>ashtu edhe</w:t>
      </w:r>
      <w:r w:rsidRPr="00D305B9">
        <w:rPr>
          <w:rFonts w:cstheme="minorHAnsi"/>
          <w:color w:val="000000"/>
          <w:sz w:val="24"/>
          <w:szCs w:val="24"/>
        </w:rPr>
        <w:t xml:space="preserve"> analizat që masin në mënyrë specifike nivelet e NOAC në plazmë</w:t>
      </w:r>
      <w:r>
        <w:rPr>
          <w:rFonts w:cstheme="minorHAnsi"/>
          <w:color w:val="000000"/>
          <w:sz w:val="24"/>
          <w:szCs w:val="24"/>
        </w:rPr>
        <w:t>, ndihmojnë shumë</w:t>
      </w:r>
      <w:r w:rsidRPr="00D305B9">
        <w:rPr>
          <w:rFonts w:cstheme="minorHAnsi"/>
          <w:color w:val="000000"/>
          <w:sz w:val="24"/>
          <w:szCs w:val="24"/>
        </w:rPr>
        <w:t xml:space="preserve"> në vlerësimin e hemorragjis</w:t>
      </w:r>
      <w:r>
        <w:rPr>
          <w:rFonts w:cstheme="minorHAnsi"/>
          <w:color w:val="000000"/>
          <w:sz w:val="24"/>
          <w:szCs w:val="24"/>
        </w:rPr>
        <w:t>ë</w:t>
      </w:r>
      <w:r w:rsidRPr="00D305B9">
        <w:rPr>
          <w:rFonts w:cstheme="minorHAnsi"/>
          <w:color w:val="000000"/>
          <w:sz w:val="24"/>
          <w:szCs w:val="24"/>
        </w:rPr>
        <w:t xml:space="preserve"> s</w:t>
      </w:r>
      <w:r>
        <w:rPr>
          <w:rFonts w:cstheme="minorHAnsi"/>
          <w:color w:val="000000"/>
          <w:sz w:val="24"/>
          <w:szCs w:val="24"/>
        </w:rPr>
        <w:t>ë</w:t>
      </w:r>
      <w:r w:rsidRPr="00D305B9">
        <w:rPr>
          <w:rFonts w:cstheme="minorHAnsi"/>
          <w:color w:val="000000"/>
          <w:sz w:val="24"/>
          <w:szCs w:val="24"/>
        </w:rPr>
        <w:t xml:space="preserve"> lidhur me NOAC. Rezultatet </w:t>
      </w:r>
      <w:r w:rsidRPr="00596CD1">
        <w:rPr>
          <w:rFonts w:cstheme="minorHAnsi"/>
          <w:b/>
          <w:bCs/>
          <w:color w:val="000000"/>
          <w:sz w:val="24"/>
          <w:szCs w:val="24"/>
        </w:rPr>
        <w:t>normale</w:t>
      </w:r>
      <w:r w:rsidRPr="00D305B9">
        <w:rPr>
          <w:rFonts w:cstheme="minorHAnsi"/>
          <w:color w:val="000000"/>
          <w:sz w:val="24"/>
          <w:szCs w:val="24"/>
        </w:rPr>
        <w:t xml:space="preserve"> të kohës së koagulimit</w:t>
      </w:r>
      <w:r>
        <w:rPr>
          <w:rFonts w:cstheme="minorHAnsi"/>
          <w:color w:val="000000"/>
          <w:sz w:val="24"/>
          <w:szCs w:val="24"/>
        </w:rPr>
        <w:t>,</w:t>
      </w:r>
      <w:r w:rsidRPr="00D305B9">
        <w:rPr>
          <w:rFonts w:cstheme="minorHAnsi"/>
          <w:color w:val="000000"/>
          <w:sz w:val="24"/>
          <w:szCs w:val="24"/>
        </w:rPr>
        <w:t xml:space="preserve"> dTT/ecarin (për dabigatran) ose </w:t>
      </w:r>
      <w:r>
        <w:rPr>
          <w:rFonts w:cstheme="minorHAnsi"/>
          <w:color w:val="000000"/>
          <w:sz w:val="24"/>
          <w:szCs w:val="24"/>
        </w:rPr>
        <w:t xml:space="preserve">rezultatet </w:t>
      </w:r>
      <w:r w:rsidRPr="00596CD1">
        <w:rPr>
          <w:rFonts w:cstheme="minorHAnsi"/>
          <w:b/>
          <w:bCs/>
          <w:color w:val="000000"/>
          <w:sz w:val="24"/>
          <w:szCs w:val="24"/>
        </w:rPr>
        <w:t>normale</w:t>
      </w:r>
      <w:r>
        <w:rPr>
          <w:rFonts w:cstheme="minorHAnsi"/>
          <w:color w:val="000000"/>
          <w:sz w:val="24"/>
          <w:szCs w:val="24"/>
        </w:rPr>
        <w:t xml:space="preserve"> të matjes së </w:t>
      </w:r>
      <w:r w:rsidRPr="00D305B9">
        <w:rPr>
          <w:rFonts w:cstheme="minorHAnsi"/>
          <w:color w:val="000000"/>
          <w:sz w:val="24"/>
          <w:szCs w:val="24"/>
        </w:rPr>
        <w:t>aktiviteti</w:t>
      </w:r>
      <w:r>
        <w:rPr>
          <w:rFonts w:cstheme="minorHAnsi"/>
          <w:color w:val="000000"/>
          <w:sz w:val="24"/>
          <w:szCs w:val="24"/>
        </w:rPr>
        <w:t>t të</w:t>
      </w:r>
      <w:r w:rsidRPr="00D305B9">
        <w:rPr>
          <w:rFonts w:cstheme="minorHAnsi"/>
          <w:color w:val="000000"/>
          <w:sz w:val="24"/>
          <w:szCs w:val="24"/>
        </w:rPr>
        <w:t xml:space="preserve"> anti-Xa (për pacientët e trajtuar me barna frenues t</w:t>
      </w:r>
      <w:r>
        <w:rPr>
          <w:rFonts w:cstheme="minorHAnsi"/>
          <w:color w:val="000000"/>
          <w:sz w:val="24"/>
          <w:szCs w:val="24"/>
        </w:rPr>
        <w:t>ë</w:t>
      </w:r>
      <w:r w:rsidRPr="00D305B9">
        <w:rPr>
          <w:rFonts w:cstheme="minorHAnsi"/>
          <w:color w:val="000000"/>
          <w:sz w:val="24"/>
          <w:szCs w:val="24"/>
        </w:rPr>
        <w:t xml:space="preserve"> faktorit Xa – riva</w:t>
      </w:r>
      <w:r>
        <w:rPr>
          <w:rFonts w:cstheme="minorHAnsi"/>
          <w:color w:val="000000"/>
          <w:sz w:val="24"/>
          <w:szCs w:val="24"/>
        </w:rPr>
        <w:t>roxaban</w:t>
      </w:r>
      <w:r w:rsidRPr="00D305B9">
        <w:rPr>
          <w:rFonts w:cstheme="minorHAnsi"/>
          <w:color w:val="000000"/>
          <w:sz w:val="24"/>
          <w:szCs w:val="24"/>
        </w:rPr>
        <w:t>, api</w:t>
      </w:r>
      <w:r>
        <w:rPr>
          <w:rFonts w:cstheme="minorHAnsi"/>
          <w:color w:val="000000"/>
          <w:sz w:val="24"/>
          <w:szCs w:val="24"/>
        </w:rPr>
        <w:t>xaban dhe edoxaban</w:t>
      </w:r>
      <w:r w:rsidRPr="00D305B9">
        <w:rPr>
          <w:rFonts w:cstheme="minorHAnsi"/>
          <w:color w:val="000000"/>
          <w:sz w:val="24"/>
          <w:szCs w:val="24"/>
        </w:rPr>
        <w:t xml:space="preserve">) përjashtojnë </w:t>
      </w:r>
      <w:r>
        <w:rPr>
          <w:rFonts w:cstheme="minorHAnsi"/>
          <w:color w:val="000000"/>
          <w:sz w:val="24"/>
          <w:szCs w:val="24"/>
        </w:rPr>
        <w:t>mundësinë e hemorragjisë nga NOAC</w:t>
      </w:r>
      <w:r w:rsidRPr="00D305B9">
        <w:rPr>
          <w:rFonts w:cstheme="minorHAnsi"/>
          <w:color w:val="000000"/>
          <w:sz w:val="24"/>
          <w:szCs w:val="24"/>
        </w:rPr>
        <w:t xml:space="preserve">. </w:t>
      </w:r>
      <w:r>
        <w:rPr>
          <w:rFonts w:cstheme="minorHAnsi"/>
          <w:color w:val="000000"/>
          <w:sz w:val="24"/>
          <w:szCs w:val="24"/>
        </w:rPr>
        <w:t>Theksojmë se</w:t>
      </w:r>
      <w:r w:rsidRPr="00D305B9">
        <w:rPr>
          <w:rFonts w:cstheme="minorHAnsi"/>
          <w:color w:val="000000"/>
          <w:sz w:val="24"/>
          <w:szCs w:val="24"/>
        </w:rPr>
        <w:t>, testet konvencionale të koagulimit mund të jenë jonormale jo vetëm për shkak të efektit të vetë NOAC, por për një sërë arsyesh të tjera, veçanërisht në kushtet e hemorragjis</w:t>
      </w:r>
      <w:r>
        <w:rPr>
          <w:rFonts w:cstheme="minorHAnsi"/>
          <w:color w:val="000000"/>
          <w:sz w:val="24"/>
          <w:szCs w:val="24"/>
        </w:rPr>
        <w:t>ë</w:t>
      </w:r>
      <w:r w:rsidRPr="00D305B9">
        <w:rPr>
          <w:rFonts w:cstheme="minorHAnsi"/>
          <w:color w:val="000000"/>
          <w:sz w:val="24"/>
          <w:szCs w:val="24"/>
        </w:rPr>
        <w:t xml:space="preserve"> madhore. Anasjelltas, duhet mbajtur parasysh se rivendosja e koagulimit nuk rezulton domosdoshmërisht në një rezultat klinik të përmirësuar</w:t>
      </w:r>
      <w:r>
        <w:rPr>
          <w:rFonts w:cstheme="minorHAnsi"/>
          <w:color w:val="000000"/>
          <w:sz w:val="24"/>
          <w:szCs w:val="24"/>
        </w:rPr>
        <w:t xml:space="preserve">.  P.sh. në rastin e hemorragjisë intrakraniale, pavarësisht se hemorragjia ndërpritet dhe rivendoset koagulimi normal, hemorragjia intrakraniale është një ngjarje e rënde me pasoja shpesh fatale. </w:t>
      </w:r>
    </w:p>
    <w:p w14:paraId="431494EF" w14:textId="77777777" w:rsidR="009E1860" w:rsidRPr="00D305B9" w:rsidRDefault="009E1860" w:rsidP="009E1860">
      <w:pPr>
        <w:rPr>
          <w:rFonts w:cstheme="minorHAnsi"/>
          <w:color w:val="000000"/>
          <w:sz w:val="24"/>
          <w:szCs w:val="24"/>
        </w:rPr>
      </w:pPr>
      <w:r>
        <w:rPr>
          <w:rFonts w:cstheme="minorHAnsi"/>
          <w:color w:val="000000"/>
          <w:sz w:val="24"/>
          <w:szCs w:val="24"/>
        </w:rPr>
        <w:t xml:space="preserve">Disa këshilla </w:t>
      </w:r>
      <w:r w:rsidRPr="00D305B9">
        <w:rPr>
          <w:rFonts w:cstheme="minorHAnsi"/>
          <w:color w:val="000000"/>
          <w:sz w:val="24"/>
          <w:szCs w:val="24"/>
        </w:rPr>
        <w:t xml:space="preserve">praktike </w:t>
      </w:r>
      <w:r>
        <w:rPr>
          <w:rFonts w:cstheme="minorHAnsi"/>
          <w:color w:val="000000"/>
          <w:sz w:val="24"/>
          <w:szCs w:val="24"/>
        </w:rPr>
        <w:t>mbi</w:t>
      </w:r>
      <w:r w:rsidRPr="00D305B9">
        <w:rPr>
          <w:rFonts w:cstheme="minorHAnsi"/>
          <w:color w:val="000000"/>
          <w:sz w:val="24"/>
          <w:szCs w:val="24"/>
        </w:rPr>
        <w:t xml:space="preserve"> menaxhimin e hemorragjive të vogla dhe hemorragjive madhore jo-kërcënuese për jetën janë përmbledhur në</w:t>
      </w:r>
      <w:r w:rsidRPr="00E14B7F">
        <w:rPr>
          <w:rFonts w:cstheme="minorHAnsi"/>
          <w:color w:val="000000"/>
          <w:sz w:val="24"/>
          <w:szCs w:val="24"/>
        </w:rPr>
        <w:t xml:space="preserve"> skem</w:t>
      </w:r>
      <w:r>
        <w:rPr>
          <w:rFonts w:cstheme="minorHAnsi"/>
          <w:color w:val="000000"/>
          <w:sz w:val="24"/>
          <w:szCs w:val="24"/>
        </w:rPr>
        <w:t>ë</w:t>
      </w:r>
      <w:r w:rsidRPr="00E14B7F">
        <w:rPr>
          <w:rFonts w:cstheme="minorHAnsi"/>
          <w:color w:val="000000"/>
          <w:sz w:val="24"/>
          <w:szCs w:val="24"/>
        </w:rPr>
        <w:t>n</w:t>
      </w:r>
      <w:r>
        <w:rPr>
          <w:rFonts w:cstheme="minorHAnsi"/>
          <w:color w:val="000000"/>
          <w:sz w:val="24"/>
          <w:szCs w:val="24"/>
        </w:rPr>
        <w:t xml:space="preserve"> e mësipërme</w:t>
      </w:r>
      <w:r w:rsidRPr="00E14B7F">
        <w:rPr>
          <w:rFonts w:cstheme="minorHAnsi"/>
          <w:color w:val="000000"/>
          <w:sz w:val="24"/>
          <w:szCs w:val="24"/>
        </w:rPr>
        <w:t xml:space="preserve">: </w:t>
      </w:r>
      <w:r>
        <w:rPr>
          <w:rFonts w:cstheme="minorHAnsi"/>
          <w:color w:val="000000"/>
          <w:sz w:val="24"/>
          <w:szCs w:val="24"/>
        </w:rPr>
        <w:t>‘</w:t>
      </w:r>
      <w:r w:rsidRPr="00E14B7F">
        <w:rPr>
          <w:rFonts w:cstheme="minorHAnsi"/>
          <w:color w:val="000000"/>
          <w:sz w:val="24"/>
          <w:szCs w:val="24"/>
        </w:rPr>
        <w:t>Menaxhimi i hemorragjis</w:t>
      </w:r>
      <w:r>
        <w:rPr>
          <w:rFonts w:cstheme="minorHAnsi"/>
          <w:color w:val="000000"/>
          <w:sz w:val="24"/>
          <w:szCs w:val="24"/>
        </w:rPr>
        <w:t>ë</w:t>
      </w:r>
      <w:r w:rsidRPr="00E14B7F">
        <w:rPr>
          <w:rFonts w:cstheme="minorHAnsi"/>
          <w:color w:val="000000"/>
          <w:sz w:val="24"/>
          <w:szCs w:val="24"/>
        </w:rPr>
        <w:t xml:space="preserve"> n</w:t>
      </w:r>
      <w:r>
        <w:rPr>
          <w:rFonts w:cstheme="minorHAnsi"/>
          <w:color w:val="000000"/>
          <w:sz w:val="24"/>
          <w:szCs w:val="24"/>
        </w:rPr>
        <w:t>ë</w:t>
      </w:r>
      <w:r w:rsidRPr="00E14B7F">
        <w:rPr>
          <w:rFonts w:cstheme="minorHAnsi"/>
          <w:color w:val="000000"/>
          <w:sz w:val="24"/>
          <w:szCs w:val="24"/>
        </w:rPr>
        <w:t xml:space="preserve"> pacient</w:t>
      </w:r>
      <w:r>
        <w:rPr>
          <w:rFonts w:cstheme="minorHAnsi"/>
          <w:color w:val="000000"/>
          <w:sz w:val="24"/>
          <w:szCs w:val="24"/>
        </w:rPr>
        <w:t>ë</w:t>
      </w:r>
      <w:r w:rsidRPr="00E14B7F">
        <w:rPr>
          <w:rFonts w:cstheme="minorHAnsi"/>
          <w:color w:val="000000"/>
          <w:sz w:val="24"/>
          <w:szCs w:val="24"/>
        </w:rPr>
        <w:t xml:space="preserve"> q</w:t>
      </w:r>
      <w:r>
        <w:rPr>
          <w:rFonts w:cstheme="minorHAnsi"/>
          <w:color w:val="000000"/>
          <w:sz w:val="24"/>
          <w:szCs w:val="24"/>
        </w:rPr>
        <w:t>ë</w:t>
      </w:r>
      <w:r w:rsidRPr="00E14B7F">
        <w:rPr>
          <w:rFonts w:cstheme="minorHAnsi"/>
          <w:color w:val="000000"/>
          <w:sz w:val="24"/>
          <w:szCs w:val="24"/>
        </w:rPr>
        <w:t xml:space="preserve"> marrin NOAC</w:t>
      </w:r>
      <w:r>
        <w:rPr>
          <w:rFonts w:cstheme="minorHAnsi"/>
          <w:color w:val="000000"/>
          <w:sz w:val="24"/>
          <w:szCs w:val="24"/>
        </w:rPr>
        <w:t>’</w:t>
      </w:r>
      <w:r w:rsidRPr="00E14B7F">
        <w:rPr>
          <w:rFonts w:cstheme="minorHAnsi"/>
          <w:color w:val="000000"/>
          <w:sz w:val="24"/>
          <w:szCs w:val="24"/>
        </w:rPr>
        <w:t>.</w:t>
      </w:r>
    </w:p>
    <w:p w14:paraId="07A27CAE" w14:textId="77777777" w:rsidR="009E1860" w:rsidRPr="00D305B9" w:rsidRDefault="009E1860" w:rsidP="009E1860">
      <w:pPr>
        <w:rPr>
          <w:rFonts w:cstheme="minorHAnsi"/>
          <w:color w:val="000000"/>
          <w:sz w:val="24"/>
          <w:szCs w:val="24"/>
        </w:rPr>
      </w:pPr>
    </w:p>
    <w:p w14:paraId="7F95C93E" w14:textId="77777777" w:rsidR="009E1860" w:rsidRDefault="009E1860" w:rsidP="009E1860">
      <w:pPr>
        <w:rPr>
          <w:rFonts w:cstheme="minorHAnsi"/>
          <w:b/>
          <w:bCs/>
          <w:color w:val="000000"/>
          <w:sz w:val="24"/>
          <w:szCs w:val="24"/>
        </w:rPr>
      </w:pPr>
    </w:p>
    <w:p w14:paraId="30564BE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4.2.2 </w:t>
      </w:r>
      <w:r w:rsidRPr="00962BE2">
        <w:rPr>
          <w:rFonts w:cstheme="minorHAnsi"/>
          <w:b/>
          <w:bCs/>
          <w:color w:val="000000"/>
          <w:sz w:val="24"/>
          <w:szCs w:val="24"/>
        </w:rPr>
        <w:t xml:space="preserve">Hemorragjia kërcënuese për jetën ose hemorragjia në një zonë kritike </w:t>
      </w:r>
    </w:p>
    <w:p w14:paraId="79AACAD6"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Pacientët me hemorragji kërcënuese për jetën ose hemorragji në një zonë kritike </w:t>
      </w:r>
      <w:r>
        <w:rPr>
          <w:rFonts w:cstheme="minorHAnsi"/>
          <w:color w:val="000000"/>
          <w:sz w:val="24"/>
          <w:szCs w:val="24"/>
        </w:rPr>
        <w:t>nd</w:t>
      </w:r>
      <w:r w:rsidRPr="00D305B9">
        <w:rPr>
          <w:rFonts w:cstheme="minorHAnsi"/>
          <w:color w:val="000000"/>
          <w:sz w:val="24"/>
          <w:szCs w:val="24"/>
        </w:rPr>
        <w:t>ërsa trajtohen me NOAC</w:t>
      </w:r>
      <w:r>
        <w:rPr>
          <w:rFonts w:cstheme="minorHAnsi"/>
          <w:color w:val="000000"/>
          <w:sz w:val="24"/>
          <w:szCs w:val="24"/>
        </w:rPr>
        <w:t>,</w:t>
      </w:r>
      <w:r w:rsidRPr="00D305B9">
        <w:rPr>
          <w:rFonts w:cstheme="minorHAnsi"/>
          <w:color w:val="000000"/>
          <w:sz w:val="24"/>
          <w:szCs w:val="24"/>
        </w:rPr>
        <w:t xml:space="preserve"> </w:t>
      </w:r>
      <w:r w:rsidRPr="00FF08C2">
        <w:rPr>
          <w:rFonts w:cstheme="minorHAnsi"/>
          <w:color w:val="000000"/>
          <w:sz w:val="24"/>
          <w:szCs w:val="24"/>
        </w:rPr>
        <w:t>përveç masave standarde të përshkruara më sipër në skemën ‘Menaxhimi i hemorragjisë në pacientë që marrin NOAC’</w:t>
      </w:r>
      <w:r>
        <w:rPr>
          <w:rFonts w:cstheme="minorHAnsi"/>
          <w:color w:val="000000"/>
          <w:sz w:val="24"/>
          <w:szCs w:val="24"/>
        </w:rPr>
        <w:t xml:space="preserve">, </w:t>
      </w:r>
      <w:r w:rsidRPr="00D305B9">
        <w:rPr>
          <w:rFonts w:cstheme="minorHAnsi"/>
          <w:color w:val="000000"/>
          <w:sz w:val="24"/>
          <w:szCs w:val="24"/>
        </w:rPr>
        <w:t xml:space="preserve">mund të përfitojnë </w:t>
      </w:r>
      <w:r>
        <w:rPr>
          <w:rFonts w:cstheme="minorHAnsi"/>
          <w:color w:val="000000"/>
          <w:sz w:val="24"/>
          <w:szCs w:val="24"/>
        </w:rPr>
        <w:t xml:space="preserve">edhe </w:t>
      </w:r>
      <w:r w:rsidRPr="00D305B9">
        <w:rPr>
          <w:rFonts w:cstheme="minorHAnsi"/>
          <w:color w:val="000000"/>
          <w:sz w:val="24"/>
          <w:szCs w:val="24"/>
        </w:rPr>
        <w:t>nga anullimi i efektit antikoagulues t</w:t>
      </w:r>
      <w:r>
        <w:rPr>
          <w:rFonts w:cstheme="minorHAnsi"/>
          <w:color w:val="000000"/>
          <w:sz w:val="24"/>
          <w:szCs w:val="24"/>
        </w:rPr>
        <w:t>ë</w:t>
      </w:r>
      <w:r w:rsidRPr="00D305B9">
        <w:rPr>
          <w:rFonts w:cstheme="minorHAnsi"/>
          <w:color w:val="000000"/>
          <w:sz w:val="24"/>
          <w:szCs w:val="24"/>
        </w:rPr>
        <w:t xml:space="preserve"> tyre </w:t>
      </w:r>
      <w:r>
        <w:rPr>
          <w:rFonts w:cstheme="minorHAnsi"/>
          <w:color w:val="000000"/>
          <w:sz w:val="24"/>
          <w:szCs w:val="24"/>
        </w:rPr>
        <w:t xml:space="preserve">(nga përdorimi i antidotëve). </w:t>
      </w:r>
      <w:r w:rsidRPr="00D305B9">
        <w:rPr>
          <w:rFonts w:cstheme="minorHAnsi"/>
          <w:color w:val="000000"/>
          <w:sz w:val="24"/>
          <w:szCs w:val="24"/>
        </w:rPr>
        <w:t>Megjithëse vlerat laboratorike (përfshirë një panel të plotë të koagulimit) duhet të merren përpara çdo vendimi p</w:t>
      </w:r>
      <w:r>
        <w:rPr>
          <w:rFonts w:cstheme="minorHAnsi"/>
          <w:color w:val="000000"/>
          <w:sz w:val="24"/>
          <w:szCs w:val="24"/>
        </w:rPr>
        <w:t>ë</w:t>
      </w:r>
      <w:r w:rsidRPr="00D305B9">
        <w:rPr>
          <w:rFonts w:cstheme="minorHAnsi"/>
          <w:color w:val="000000"/>
          <w:sz w:val="24"/>
          <w:szCs w:val="24"/>
        </w:rPr>
        <w:t>r p</w:t>
      </w:r>
      <w:r>
        <w:rPr>
          <w:rFonts w:cstheme="minorHAnsi"/>
          <w:color w:val="000000"/>
          <w:sz w:val="24"/>
          <w:szCs w:val="24"/>
        </w:rPr>
        <w:t>ë</w:t>
      </w:r>
      <w:r w:rsidRPr="00D305B9">
        <w:rPr>
          <w:rFonts w:cstheme="minorHAnsi"/>
          <w:color w:val="000000"/>
          <w:sz w:val="24"/>
          <w:szCs w:val="24"/>
        </w:rPr>
        <w:t>rdorimin e nj</w:t>
      </w:r>
      <w:r>
        <w:rPr>
          <w:rFonts w:cstheme="minorHAnsi"/>
          <w:color w:val="000000"/>
          <w:sz w:val="24"/>
          <w:szCs w:val="24"/>
        </w:rPr>
        <w:t>ë</w:t>
      </w:r>
      <w:r w:rsidRPr="00D305B9">
        <w:rPr>
          <w:rFonts w:cstheme="minorHAnsi"/>
          <w:color w:val="000000"/>
          <w:sz w:val="24"/>
          <w:szCs w:val="24"/>
        </w:rPr>
        <w:t xml:space="preserve"> antidoti, veprimet e menj</w:t>
      </w:r>
      <w:r>
        <w:rPr>
          <w:rFonts w:cstheme="minorHAnsi"/>
          <w:color w:val="000000"/>
          <w:sz w:val="24"/>
          <w:szCs w:val="24"/>
        </w:rPr>
        <w:t>ë</w:t>
      </w:r>
      <w:r w:rsidRPr="00D305B9">
        <w:rPr>
          <w:rFonts w:cstheme="minorHAnsi"/>
          <w:color w:val="000000"/>
          <w:sz w:val="24"/>
          <w:szCs w:val="24"/>
        </w:rPr>
        <w:t>her</w:t>
      </w:r>
      <w:r>
        <w:rPr>
          <w:rFonts w:cstheme="minorHAnsi"/>
          <w:color w:val="000000"/>
          <w:sz w:val="24"/>
          <w:szCs w:val="24"/>
        </w:rPr>
        <w:t>ë</w:t>
      </w:r>
      <w:r w:rsidRPr="00D305B9">
        <w:rPr>
          <w:rFonts w:cstheme="minorHAnsi"/>
          <w:color w:val="000000"/>
          <w:sz w:val="24"/>
          <w:szCs w:val="24"/>
        </w:rPr>
        <w:t>shme duhet t</w:t>
      </w:r>
      <w:r>
        <w:rPr>
          <w:rFonts w:cstheme="minorHAnsi"/>
          <w:color w:val="000000"/>
          <w:sz w:val="24"/>
          <w:szCs w:val="24"/>
        </w:rPr>
        <w:t>ë</w:t>
      </w:r>
      <w:r w:rsidRPr="00D305B9">
        <w:rPr>
          <w:rFonts w:cstheme="minorHAnsi"/>
          <w:color w:val="000000"/>
          <w:sz w:val="24"/>
          <w:szCs w:val="24"/>
        </w:rPr>
        <w:t xml:space="preserve"> udh</w:t>
      </w:r>
      <w:r>
        <w:rPr>
          <w:rFonts w:cstheme="minorHAnsi"/>
          <w:color w:val="000000"/>
          <w:sz w:val="24"/>
          <w:szCs w:val="24"/>
        </w:rPr>
        <w:t>ë</w:t>
      </w:r>
      <w:r w:rsidRPr="00D305B9">
        <w:rPr>
          <w:rFonts w:cstheme="minorHAnsi"/>
          <w:color w:val="000000"/>
          <w:sz w:val="24"/>
          <w:szCs w:val="24"/>
        </w:rPr>
        <w:t>hiqen nga vlerësimi klinik pa pritur rezultatet e matjeve laboratorike. Anasjelltas dhe më e rëndësishmja, normalizimi i koagulimit në vetvete nuk është domosdoshmërisht i mjaftueshëm për të ndaluar një hemorragji, por mund të lejojë ndërhyrje më invazive për të kontrolluar burimin e hemorragjis</w:t>
      </w:r>
      <w:r>
        <w:rPr>
          <w:rFonts w:cstheme="minorHAnsi"/>
          <w:color w:val="000000"/>
          <w:sz w:val="24"/>
          <w:szCs w:val="24"/>
        </w:rPr>
        <w:t>ë</w:t>
      </w:r>
      <w:r w:rsidRPr="00D305B9">
        <w:rPr>
          <w:rFonts w:cstheme="minorHAnsi"/>
          <w:color w:val="000000"/>
          <w:sz w:val="24"/>
          <w:szCs w:val="24"/>
        </w:rPr>
        <w:t>. Për më tepër, edhe pas p</w:t>
      </w:r>
      <w:r>
        <w:rPr>
          <w:rFonts w:cstheme="minorHAnsi"/>
          <w:color w:val="000000"/>
          <w:sz w:val="24"/>
          <w:szCs w:val="24"/>
        </w:rPr>
        <w:t>ë</w:t>
      </w:r>
      <w:r w:rsidRPr="00D305B9">
        <w:rPr>
          <w:rFonts w:cstheme="minorHAnsi"/>
          <w:color w:val="000000"/>
          <w:sz w:val="24"/>
          <w:szCs w:val="24"/>
        </w:rPr>
        <w:t>rdorimit t</w:t>
      </w:r>
      <w:r>
        <w:rPr>
          <w:rFonts w:cstheme="minorHAnsi"/>
          <w:color w:val="000000"/>
          <w:sz w:val="24"/>
          <w:szCs w:val="24"/>
        </w:rPr>
        <w:t>ë</w:t>
      </w:r>
      <w:r w:rsidRPr="00D305B9">
        <w:rPr>
          <w:rFonts w:cstheme="minorHAnsi"/>
          <w:color w:val="000000"/>
          <w:sz w:val="24"/>
          <w:szCs w:val="24"/>
        </w:rPr>
        <w:t xml:space="preserve"> menj</w:t>
      </w:r>
      <w:r>
        <w:rPr>
          <w:rFonts w:cstheme="minorHAnsi"/>
          <w:color w:val="000000"/>
          <w:sz w:val="24"/>
          <w:szCs w:val="24"/>
        </w:rPr>
        <w:t>ë</w:t>
      </w:r>
      <w:r w:rsidRPr="00D305B9">
        <w:rPr>
          <w:rFonts w:cstheme="minorHAnsi"/>
          <w:color w:val="000000"/>
          <w:sz w:val="24"/>
          <w:szCs w:val="24"/>
        </w:rPr>
        <w:t>hersh</w:t>
      </w:r>
      <w:r>
        <w:rPr>
          <w:rFonts w:cstheme="minorHAnsi"/>
          <w:color w:val="000000"/>
          <w:sz w:val="24"/>
          <w:szCs w:val="24"/>
        </w:rPr>
        <w:t>ë</w:t>
      </w:r>
      <w:r w:rsidRPr="00D305B9">
        <w:rPr>
          <w:rFonts w:cstheme="minorHAnsi"/>
          <w:color w:val="000000"/>
          <w:sz w:val="24"/>
          <w:szCs w:val="24"/>
        </w:rPr>
        <w:t>m t</w:t>
      </w:r>
      <w:r>
        <w:rPr>
          <w:rFonts w:cstheme="minorHAnsi"/>
          <w:color w:val="000000"/>
          <w:sz w:val="24"/>
          <w:szCs w:val="24"/>
        </w:rPr>
        <w:t>ë</w:t>
      </w:r>
      <w:r w:rsidRPr="00D305B9">
        <w:rPr>
          <w:rFonts w:cstheme="minorHAnsi"/>
          <w:color w:val="000000"/>
          <w:sz w:val="24"/>
          <w:szCs w:val="24"/>
        </w:rPr>
        <w:t xml:space="preserve"> antidotit, n</w:t>
      </w:r>
      <w:r>
        <w:rPr>
          <w:rFonts w:cstheme="minorHAnsi"/>
          <w:color w:val="000000"/>
          <w:sz w:val="24"/>
          <w:szCs w:val="24"/>
        </w:rPr>
        <w:t>ë</w:t>
      </w:r>
      <w:r w:rsidRPr="00D305B9">
        <w:rPr>
          <w:rFonts w:cstheme="minorHAnsi"/>
          <w:color w:val="000000"/>
          <w:sz w:val="24"/>
          <w:szCs w:val="24"/>
        </w:rPr>
        <w:t xml:space="preserve"> disa pacient</w:t>
      </w:r>
      <w:r>
        <w:rPr>
          <w:rFonts w:cstheme="minorHAnsi"/>
          <w:color w:val="000000"/>
          <w:sz w:val="24"/>
          <w:szCs w:val="24"/>
        </w:rPr>
        <w:t>ë</w:t>
      </w:r>
      <w:r w:rsidRPr="00D305B9">
        <w:rPr>
          <w:rFonts w:cstheme="minorHAnsi"/>
          <w:color w:val="000000"/>
          <w:sz w:val="24"/>
          <w:szCs w:val="24"/>
        </w:rPr>
        <w:t xml:space="preserve"> mund t</w:t>
      </w:r>
      <w:r>
        <w:rPr>
          <w:rFonts w:cstheme="minorHAnsi"/>
          <w:color w:val="000000"/>
          <w:sz w:val="24"/>
          <w:szCs w:val="24"/>
        </w:rPr>
        <w:t>ë</w:t>
      </w:r>
      <w:r w:rsidRPr="00D305B9">
        <w:rPr>
          <w:rFonts w:cstheme="minorHAnsi"/>
          <w:color w:val="000000"/>
          <w:sz w:val="24"/>
          <w:szCs w:val="24"/>
        </w:rPr>
        <w:t xml:space="preserve"> rishfaqen përq</w:t>
      </w:r>
      <w:r>
        <w:rPr>
          <w:rFonts w:cstheme="minorHAnsi"/>
          <w:color w:val="000000"/>
          <w:sz w:val="24"/>
          <w:szCs w:val="24"/>
        </w:rPr>
        <w:t>ë</w:t>
      </w:r>
      <w:r w:rsidRPr="00D305B9">
        <w:rPr>
          <w:rFonts w:cstheme="minorHAnsi"/>
          <w:color w:val="000000"/>
          <w:sz w:val="24"/>
          <w:szCs w:val="24"/>
        </w:rPr>
        <w:t>ndrime t</w:t>
      </w:r>
      <w:r>
        <w:rPr>
          <w:rFonts w:cstheme="minorHAnsi"/>
          <w:color w:val="000000"/>
          <w:sz w:val="24"/>
          <w:szCs w:val="24"/>
        </w:rPr>
        <w:t>ë</w:t>
      </w:r>
      <w:r w:rsidRPr="00D305B9">
        <w:rPr>
          <w:rFonts w:cstheme="minorHAnsi"/>
          <w:color w:val="000000"/>
          <w:sz w:val="24"/>
          <w:szCs w:val="24"/>
        </w:rPr>
        <w:t xml:space="preserve"> konsiderueshme të NOAC </w:t>
      </w:r>
      <w:r>
        <w:rPr>
          <w:rFonts w:cstheme="minorHAnsi"/>
          <w:color w:val="000000"/>
          <w:sz w:val="24"/>
          <w:szCs w:val="24"/>
        </w:rPr>
        <w:t>q</w:t>
      </w:r>
      <w:r w:rsidRPr="00D305B9">
        <w:rPr>
          <w:rFonts w:cstheme="minorHAnsi"/>
          <w:color w:val="000000"/>
          <w:sz w:val="24"/>
          <w:szCs w:val="24"/>
        </w:rPr>
        <w:t>ë kontribuojnë në hemorragji të përsëritura ose të vazhdueshme (veçanërisht pas andeksanet alfa</w:t>
      </w:r>
      <w:r>
        <w:rPr>
          <w:rFonts w:cstheme="minorHAnsi"/>
          <w:color w:val="000000"/>
          <w:sz w:val="24"/>
          <w:szCs w:val="24"/>
        </w:rPr>
        <w:t xml:space="preserve"> – antidoti i rivaroxabanit, edoxabanit dhe apixabanit) </w:t>
      </w:r>
      <w:r w:rsidRPr="00D305B9">
        <w:rPr>
          <w:rFonts w:cstheme="minorHAnsi"/>
          <w:color w:val="000000"/>
          <w:sz w:val="24"/>
          <w:szCs w:val="24"/>
        </w:rPr>
        <w:t>për shkak të gjysmë-jetës së tij më të shkurtër, dhe më pak pas administrimit të idarucizumab</w:t>
      </w:r>
      <w:r>
        <w:rPr>
          <w:rFonts w:cstheme="minorHAnsi"/>
          <w:color w:val="000000"/>
          <w:sz w:val="24"/>
          <w:szCs w:val="24"/>
        </w:rPr>
        <w:t>-antidoti i dabigatranit)</w:t>
      </w:r>
      <w:r w:rsidRPr="00D305B9">
        <w:rPr>
          <w:rFonts w:cstheme="minorHAnsi"/>
          <w:color w:val="000000"/>
          <w:sz w:val="24"/>
          <w:szCs w:val="24"/>
        </w:rPr>
        <w:t>, duke nënvizuar nevojën për monitorim t</w:t>
      </w:r>
      <w:r>
        <w:rPr>
          <w:rFonts w:cstheme="minorHAnsi"/>
          <w:color w:val="000000"/>
          <w:sz w:val="24"/>
          <w:szCs w:val="24"/>
        </w:rPr>
        <w:t>ë</w:t>
      </w:r>
      <w:r w:rsidRPr="00D305B9">
        <w:rPr>
          <w:rFonts w:cstheme="minorHAnsi"/>
          <w:color w:val="000000"/>
          <w:sz w:val="24"/>
          <w:szCs w:val="24"/>
        </w:rPr>
        <w:t xml:space="preserve"> vazhduesh</w:t>
      </w:r>
      <w:r>
        <w:rPr>
          <w:rFonts w:cstheme="minorHAnsi"/>
          <w:color w:val="000000"/>
          <w:sz w:val="24"/>
          <w:szCs w:val="24"/>
        </w:rPr>
        <w:t>ë</w:t>
      </w:r>
      <w:r w:rsidRPr="00D305B9">
        <w:rPr>
          <w:rFonts w:cstheme="minorHAnsi"/>
          <w:color w:val="000000"/>
          <w:sz w:val="24"/>
          <w:szCs w:val="24"/>
        </w:rPr>
        <w:t>m klinik dhe laboratorik.</w:t>
      </w:r>
    </w:p>
    <w:p w14:paraId="28345F7E" w14:textId="77777777" w:rsidR="009E1860" w:rsidRDefault="009E1860" w:rsidP="009E1860">
      <w:pPr>
        <w:rPr>
          <w:rFonts w:cstheme="minorHAnsi"/>
          <w:color w:val="000000"/>
          <w:sz w:val="24"/>
          <w:szCs w:val="24"/>
        </w:rPr>
      </w:pPr>
    </w:p>
    <w:p w14:paraId="7C40200A"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 xml:space="preserve">Idarucizumab </w:t>
      </w:r>
    </w:p>
    <w:p w14:paraId="431A1379"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Idarucizumab është një fragment antitrupash </w:t>
      </w:r>
      <w:r>
        <w:rPr>
          <w:rFonts w:cstheme="minorHAnsi"/>
          <w:color w:val="000000"/>
          <w:sz w:val="24"/>
          <w:szCs w:val="24"/>
        </w:rPr>
        <w:t>human</w:t>
      </w:r>
      <w:r w:rsidRPr="00D305B9">
        <w:rPr>
          <w:rFonts w:cstheme="minorHAnsi"/>
          <w:color w:val="000000"/>
          <w:sz w:val="24"/>
          <w:szCs w:val="24"/>
        </w:rPr>
        <w:t xml:space="preserve"> që lidh në mënyrë specifike dabigatranin. Në studimin RE-VERSE-AD, bari u përdor me sukses në pacientët me dabigatran që paraqiteshin me hemorragji madhore ose kërcënuese për jetën, ose me nevojën e një operacioni urgjent. K</w:t>
      </w:r>
      <w:r>
        <w:rPr>
          <w:rFonts w:cstheme="minorHAnsi"/>
          <w:color w:val="000000"/>
          <w:sz w:val="24"/>
          <w:szCs w:val="24"/>
        </w:rPr>
        <w:t>y rezultat</w:t>
      </w:r>
      <w:r w:rsidRPr="00D305B9">
        <w:rPr>
          <w:rFonts w:cstheme="minorHAnsi"/>
          <w:color w:val="000000"/>
          <w:sz w:val="24"/>
          <w:szCs w:val="24"/>
        </w:rPr>
        <w:t xml:space="preserve"> u </w:t>
      </w:r>
      <w:r>
        <w:rPr>
          <w:rFonts w:cstheme="minorHAnsi"/>
          <w:color w:val="000000"/>
          <w:sz w:val="24"/>
          <w:szCs w:val="24"/>
        </w:rPr>
        <w:t>ri</w:t>
      </w:r>
      <w:r w:rsidRPr="00D305B9">
        <w:rPr>
          <w:rFonts w:cstheme="minorHAnsi"/>
          <w:color w:val="000000"/>
          <w:sz w:val="24"/>
          <w:szCs w:val="24"/>
        </w:rPr>
        <w:t xml:space="preserve">konfirmua </w:t>
      </w:r>
      <w:r>
        <w:rPr>
          <w:rFonts w:cstheme="minorHAnsi"/>
          <w:color w:val="000000"/>
          <w:sz w:val="24"/>
          <w:szCs w:val="24"/>
        </w:rPr>
        <w:t xml:space="preserve">edhe </w:t>
      </w:r>
      <w:r w:rsidRPr="00D305B9">
        <w:rPr>
          <w:rFonts w:cstheme="minorHAnsi"/>
          <w:color w:val="000000"/>
          <w:sz w:val="24"/>
          <w:szCs w:val="24"/>
        </w:rPr>
        <w:t>në regjistrin vëzhgues RE VECTO. Idarucizumab e ndryshoi plotësisht aktivitetin antikoagulant të dabigatranit brenda disa minutave në pothuajse të gjithë pacientët</w:t>
      </w:r>
      <w:r>
        <w:rPr>
          <w:rFonts w:cstheme="minorHAnsi"/>
          <w:color w:val="000000"/>
          <w:sz w:val="24"/>
          <w:szCs w:val="24"/>
        </w:rPr>
        <w:t xml:space="preserve"> </w:t>
      </w:r>
      <w:r w:rsidRPr="00D305B9">
        <w:rPr>
          <w:rFonts w:cstheme="minorHAnsi"/>
          <w:color w:val="000000"/>
          <w:sz w:val="24"/>
          <w:szCs w:val="24"/>
        </w:rPr>
        <w:t>dhe për këtë arsye konsiderohet terapi e linjës së parë në situata të tilla. Një total prej 5 g idarucizumab administrohet në mënyrë intravenoze në dy doza të gatshme për përdorim prej 2.5 g iv, të administruara si dy infuzione të njëpasnjëshme për 5-10 minuta secila ose si një injeksion bolus.</w:t>
      </w:r>
      <w:r>
        <w:rPr>
          <w:rFonts w:cstheme="minorHAnsi"/>
          <w:color w:val="000000"/>
          <w:sz w:val="24"/>
          <w:szCs w:val="24"/>
        </w:rPr>
        <w:t xml:space="preserve"> (</w:t>
      </w:r>
      <w:r w:rsidRPr="00D305B9">
        <w:rPr>
          <w:rFonts w:cstheme="minorHAnsi"/>
          <w:color w:val="000000"/>
          <w:sz w:val="24"/>
          <w:szCs w:val="24"/>
        </w:rPr>
        <w:t>183</w:t>
      </w:r>
      <w:r>
        <w:rPr>
          <w:rFonts w:cstheme="minorHAnsi"/>
          <w:color w:val="000000"/>
          <w:sz w:val="24"/>
          <w:szCs w:val="24"/>
        </w:rPr>
        <w:t>)</w:t>
      </w:r>
      <w:r w:rsidRPr="00D305B9">
        <w:rPr>
          <w:rFonts w:cstheme="minorHAnsi"/>
          <w:color w:val="000000"/>
          <w:sz w:val="24"/>
          <w:szCs w:val="24"/>
        </w:rPr>
        <w:t xml:space="preserve"> Këshillohet fuqimisht monitorimi i vazhdueshëm klinik dhe laboratorik, pasi një dozë prej 5 g idarucizumab mund të mos neutralizojë plotësisht një nivel jashtëzakonisht të lartë të dabigatranit (p.sh. në rast mbidozimi ose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sëmundje renale kronike</w:t>
      </w:r>
      <w:r w:rsidRPr="00D305B9">
        <w:rPr>
          <w:rFonts w:cstheme="minorHAnsi"/>
          <w:color w:val="000000"/>
          <w:sz w:val="24"/>
          <w:szCs w:val="24"/>
        </w:rPr>
        <w:t>). Gjithashtu, nivelet e ulëta të dabigatranit mund të rishfaqen pas 12-24 orësh.</w:t>
      </w:r>
    </w:p>
    <w:p w14:paraId="5A69DBE7" w14:textId="77777777" w:rsidR="009E1860" w:rsidRPr="00D305B9" w:rsidRDefault="009E1860" w:rsidP="009E1860">
      <w:pPr>
        <w:rPr>
          <w:rFonts w:cstheme="minorHAnsi"/>
          <w:color w:val="000000"/>
          <w:sz w:val="24"/>
          <w:szCs w:val="24"/>
        </w:rPr>
      </w:pP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se indikohet klinikisht dhe n</w:t>
      </w:r>
      <w:r>
        <w:rPr>
          <w:rFonts w:cstheme="minorHAnsi"/>
          <w:color w:val="000000"/>
          <w:sz w:val="24"/>
          <w:szCs w:val="24"/>
        </w:rPr>
        <w:t>ë</w:t>
      </w:r>
      <w:r w:rsidRPr="00D305B9">
        <w:rPr>
          <w:rFonts w:cstheme="minorHAnsi"/>
          <w:color w:val="000000"/>
          <w:sz w:val="24"/>
          <w:szCs w:val="24"/>
        </w:rPr>
        <w:t xml:space="preserve">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e mundur, dabigatran mund të rifillohet pas 24 or</w:t>
      </w:r>
      <w:r>
        <w:rPr>
          <w:rFonts w:cstheme="minorHAnsi"/>
          <w:color w:val="000000"/>
          <w:sz w:val="24"/>
          <w:szCs w:val="24"/>
        </w:rPr>
        <w:t>ë</w:t>
      </w:r>
      <w:r w:rsidRPr="00D305B9">
        <w:rPr>
          <w:rFonts w:cstheme="minorHAnsi"/>
          <w:color w:val="000000"/>
          <w:sz w:val="24"/>
          <w:szCs w:val="24"/>
        </w:rPr>
        <w:t xml:space="preserve">ve, me kinetikë normale. Antikoagulantë të tjerë, përfshirë heparinat, nuk preken nga idarucizumab. Nëse idarucizumab nuk është i disponueshëm, dializa mund të përdoret për të eliminuar pjesërisht dabigatranin nga qarkullimi. Megjithatë, fillimi dhe kryerja e dializës në një pacient me hemorragji të rëndë (potencialisht kërcënuese për jetën) mund të jetë </w:t>
      </w:r>
      <w:r>
        <w:rPr>
          <w:rFonts w:cstheme="minorHAnsi"/>
          <w:color w:val="000000"/>
          <w:sz w:val="24"/>
          <w:szCs w:val="24"/>
        </w:rPr>
        <w:t>e vështirë</w:t>
      </w:r>
      <w:r w:rsidRPr="00D305B9">
        <w:rPr>
          <w:rFonts w:cstheme="minorHAnsi"/>
          <w:color w:val="000000"/>
          <w:sz w:val="24"/>
          <w:szCs w:val="24"/>
        </w:rPr>
        <w:t xml:space="preserve"> dhe mund të këshillohet vetëm nëse idarucizumabi nuk është i disponueshëm.</w:t>
      </w:r>
    </w:p>
    <w:p w14:paraId="2A2609AE" w14:textId="77777777" w:rsidR="009E1860" w:rsidRPr="00D305B9" w:rsidRDefault="009E1860" w:rsidP="009E1860">
      <w:pPr>
        <w:rPr>
          <w:rFonts w:cstheme="minorHAnsi"/>
          <w:color w:val="000000"/>
          <w:sz w:val="24"/>
          <w:szCs w:val="24"/>
        </w:rPr>
      </w:pPr>
    </w:p>
    <w:p w14:paraId="104E2D1C" w14:textId="77777777" w:rsidR="009E1860" w:rsidRDefault="009E1860" w:rsidP="009E1860">
      <w:pPr>
        <w:rPr>
          <w:rFonts w:cstheme="minorHAnsi"/>
          <w:b/>
          <w:bCs/>
          <w:color w:val="000000"/>
          <w:sz w:val="24"/>
          <w:szCs w:val="24"/>
        </w:rPr>
      </w:pPr>
    </w:p>
    <w:p w14:paraId="222536EF"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Anullimi i drejtpërdrejtë i apixaban, edoxaban ose rivaroxaban (frenuese t</w:t>
      </w:r>
      <w:r>
        <w:rPr>
          <w:rFonts w:cstheme="minorHAnsi"/>
          <w:b/>
          <w:bCs/>
          <w:color w:val="000000"/>
          <w:sz w:val="24"/>
          <w:szCs w:val="24"/>
        </w:rPr>
        <w:t>ë</w:t>
      </w:r>
      <w:r w:rsidRPr="00962BE2">
        <w:rPr>
          <w:rFonts w:cstheme="minorHAnsi"/>
          <w:b/>
          <w:bCs/>
          <w:color w:val="000000"/>
          <w:sz w:val="24"/>
          <w:szCs w:val="24"/>
        </w:rPr>
        <w:t xml:space="preserve"> FXa) </w:t>
      </w:r>
    </w:p>
    <w:p w14:paraId="08B925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Andexanet alfa është një analog rekombinant, joaktiv i faktorit human që lidh jo-specifikisht frenuesit e faktorit Xa duke parandaluar kështu të gjithë frenuesit f</w:t>
      </w:r>
      <w:r>
        <w:rPr>
          <w:rFonts w:cstheme="minorHAnsi"/>
          <w:color w:val="000000"/>
          <w:sz w:val="24"/>
          <w:szCs w:val="24"/>
        </w:rPr>
        <w:t>aktorit</w:t>
      </w:r>
      <w:r w:rsidRPr="00D305B9">
        <w:rPr>
          <w:rFonts w:cstheme="minorHAnsi"/>
          <w:color w:val="000000"/>
          <w:sz w:val="24"/>
          <w:szCs w:val="24"/>
        </w:rPr>
        <w:t xml:space="preserve"> Xa (përfshirë heparinat me peshë molekulare të ulët dhe heparinat e pafraksionuara). Në studimin 'Andexanet Alfa, një antidot i ri ndaj efekteve antikoaguluese të frenuesve FXA 4' (ANNEXA-4), andeksanet alfa u përdor me sukses në hemorragjit</w:t>
      </w:r>
      <w:r>
        <w:rPr>
          <w:rFonts w:cstheme="minorHAnsi"/>
          <w:color w:val="000000"/>
          <w:sz w:val="24"/>
          <w:szCs w:val="24"/>
        </w:rPr>
        <w:t>ë</w:t>
      </w:r>
      <w:r w:rsidRPr="00D305B9">
        <w:rPr>
          <w:rFonts w:cstheme="minorHAnsi"/>
          <w:color w:val="000000"/>
          <w:sz w:val="24"/>
          <w:szCs w:val="24"/>
        </w:rPr>
        <w:t xml:space="preserve"> madhore ose kërcënuese për jetën; në kontrast me RE-VERSE-AD studimi nuk përfshiu pacientë që i nënshtroheshin një operacioni urgjent. Bari </w:t>
      </w:r>
      <w:r>
        <w:rPr>
          <w:rFonts w:cstheme="minorHAnsi"/>
          <w:color w:val="000000"/>
          <w:sz w:val="24"/>
          <w:szCs w:val="24"/>
        </w:rPr>
        <w:t>tregtohet</w:t>
      </w:r>
      <w:r w:rsidRPr="00D305B9">
        <w:rPr>
          <w:rFonts w:cstheme="minorHAnsi"/>
          <w:color w:val="000000"/>
          <w:sz w:val="24"/>
          <w:szCs w:val="24"/>
        </w:rPr>
        <w:t xml:space="preserve"> si pluhur i liofilizuar i cili duhet të tretet përpara përdorimit. Ai administrohet si një bolus për 15-30 minuta, i ndjekur nga një infuzion 2-orësh në varësi të NOAC – ut dhe kohës që nga marrja e fundit. Në B</w:t>
      </w:r>
      <w:r>
        <w:rPr>
          <w:rFonts w:cstheme="minorHAnsi"/>
          <w:color w:val="000000"/>
          <w:sz w:val="24"/>
          <w:szCs w:val="24"/>
        </w:rPr>
        <w:t>ashkimin Evropian</w:t>
      </w:r>
      <w:r w:rsidRPr="00D305B9">
        <w:rPr>
          <w:rFonts w:cstheme="minorHAnsi"/>
          <w:color w:val="000000"/>
          <w:sz w:val="24"/>
          <w:szCs w:val="24"/>
        </w:rPr>
        <w:t xml:space="preserve"> Andexanet alpha është miratuar vetëm për nderprerjen e hemorragjive të rrezikshme për jetën ose të pakontrolluara në pacientët që marrin apixaban ose rivaroxaban. Në funksion të mënyrës shumë të ngjashme të veprimit dhe nënanalizave paraprake nga studimi ANEKSA-4 (Benz et al., paraqitur në takimin e Konferencës Ndërkombëtare të Stroke 2021) mund të supozohet se andexanet alfa do të ketë një efekt të ngjashëm te pacientët me edoxaban. Meqenëse aktiviteti antikoagulant mund të rishfaqet pas ndërprerjes së infuzionit, aktualisht është më pak e qartë se në cilën pikë kohore dhe me cilin efekt antikoagulant mund të (ri-)administrohen frenuesit</w:t>
      </w:r>
      <w:r>
        <w:rPr>
          <w:rFonts w:cstheme="minorHAnsi"/>
          <w:color w:val="000000"/>
          <w:sz w:val="24"/>
          <w:szCs w:val="24"/>
        </w:rPr>
        <w:t xml:space="preserve"> </w:t>
      </w:r>
      <w:r w:rsidRPr="00D305B9">
        <w:rPr>
          <w:rFonts w:cstheme="minorHAnsi"/>
          <w:color w:val="000000"/>
          <w:sz w:val="24"/>
          <w:szCs w:val="24"/>
        </w:rPr>
        <w:t>e faktorit Xa ose heparina pas administrimit të andeksanet alfa.</w:t>
      </w:r>
    </w:p>
    <w:p w14:paraId="41D8B079" w14:textId="77777777" w:rsidR="009E1860" w:rsidRPr="00962BE2" w:rsidRDefault="009E1860" w:rsidP="009E1860">
      <w:pPr>
        <w:rPr>
          <w:rFonts w:cstheme="minorHAnsi"/>
          <w:b/>
          <w:bCs/>
          <w:color w:val="000000"/>
          <w:sz w:val="24"/>
          <w:szCs w:val="24"/>
        </w:rPr>
      </w:pPr>
    </w:p>
    <w:p w14:paraId="30F6DFF5" w14:textId="77777777" w:rsidR="009E1860" w:rsidRPr="00962BE2" w:rsidRDefault="009E1860" w:rsidP="009E1860">
      <w:pPr>
        <w:rPr>
          <w:rFonts w:cstheme="minorHAnsi"/>
          <w:b/>
          <w:bCs/>
          <w:color w:val="000000"/>
          <w:sz w:val="24"/>
          <w:szCs w:val="24"/>
        </w:rPr>
      </w:pPr>
      <w:r w:rsidRPr="00962BE2">
        <w:rPr>
          <w:rFonts w:cstheme="minorHAnsi"/>
          <w:b/>
          <w:bCs/>
          <w:color w:val="000000"/>
          <w:sz w:val="24"/>
          <w:szCs w:val="24"/>
        </w:rPr>
        <w:t>Faktorët e koagulimit</w:t>
      </w:r>
    </w:p>
    <w:p w14:paraId="09FA9738" w14:textId="77777777" w:rsidR="009E1860" w:rsidRPr="00D305B9" w:rsidRDefault="009E1860" w:rsidP="009E1860">
      <w:pPr>
        <w:rPr>
          <w:rFonts w:cstheme="minorHAnsi"/>
          <w:color w:val="000000"/>
          <w:sz w:val="24"/>
          <w:szCs w:val="24"/>
        </w:rPr>
      </w:pPr>
      <w:r w:rsidRPr="00D305B9">
        <w:rPr>
          <w:rFonts w:cstheme="minorHAnsi"/>
          <w:color w:val="000000"/>
          <w:sz w:val="24"/>
          <w:szCs w:val="24"/>
        </w:rPr>
        <w:t>Studimet klinike dhe të dhënat nga regjistrat me NOAC kanë treguar se administrimi i faktorëve të koagulimit nevojitet rrallë. Në të vërtetë, çdo efekt antagonizues ndaj nj</w:t>
      </w:r>
      <w:r>
        <w:rPr>
          <w:rFonts w:cstheme="minorHAnsi"/>
          <w:color w:val="000000"/>
          <w:sz w:val="24"/>
          <w:szCs w:val="24"/>
        </w:rPr>
        <w:t>ë</w:t>
      </w:r>
      <w:r w:rsidRPr="00D305B9">
        <w:rPr>
          <w:rFonts w:cstheme="minorHAnsi"/>
          <w:color w:val="000000"/>
          <w:sz w:val="24"/>
          <w:szCs w:val="24"/>
        </w:rPr>
        <w:t xml:space="preserve"> NOAC-u i një prokoagulanti duhet të balancohet me kujdes ndaj efektit të mundshëm protrombotik. Eksperimentet me kafshë si dhe studimet në vullnetarë të shëndetshëm kanë treguar dobinë potenciale të koncentratit të kompleksit të protrombinës (PCC) dhe</w:t>
      </w:r>
      <w:r>
        <w:rPr>
          <w:rFonts w:cstheme="minorHAnsi"/>
          <w:color w:val="000000"/>
          <w:sz w:val="24"/>
          <w:szCs w:val="24"/>
        </w:rPr>
        <w:t xml:space="preserve"> </w:t>
      </w:r>
      <w:r w:rsidRPr="00D305B9">
        <w:rPr>
          <w:rFonts w:cstheme="minorHAnsi"/>
          <w:color w:val="000000"/>
          <w:sz w:val="24"/>
          <w:szCs w:val="24"/>
        </w:rPr>
        <w:t xml:space="preserve">koncentratit të kompleksit të protrombinës të aktivizuar (aPCC) për normalizimin e parametrave të koagulimit nën trajtimin me NOAC </w:t>
      </w:r>
      <w:r>
        <w:rPr>
          <w:rFonts w:cstheme="minorHAnsi"/>
          <w:color w:val="000000"/>
          <w:sz w:val="24"/>
          <w:szCs w:val="24"/>
        </w:rPr>
        <w:t xml:space="preserve">duke shërbyer kështu </w:t>
      </w:r>
      <w:r w:rsidRPr="00D305B9">
        <w:rPr>
          <w:rFonts w:cstheme="minorHAnsi"/>
          <w:color w:val="000000"/>
          <w:sz w:val="24"/>
          <w:szCs w:val="24"/>
        </w:rPr>
        <w:t>si një zëvendësues për vendosjen e hemostaz</w:t>
      </w:r>
      <w:r>
        <w:rPr>
          <w:rFonts w:cstheme="minorHAnsi"/>
          <w:color w:val="000000"/>
          <w:sz w:val="24"/>
          <w:szCs w:val="24"/>
        </w:rPr>
        <w:t>ë</w:t>
      </w:r>
      <w:r w:rsidRPr="00D305B9">
        <w:rPr>
          <w:rFonts w:cstheme="minorHAnsi"/>
          <w:color w:val="000000"/>
          <w:sz w:val="24"/>
          <w:szCs w:val="24"/>
        </w:rPr>
        <w:t>s.</w:t>
      </w:r>
      <w:r>
        <w:rPr>
          <w:rFonts w:cstheme="minorHAnsi"/>
          <w:color w:val="000000"/>
          <w:sz w:val="24"/>
          <w:szCs w:val="24"/>
        </w:rPr>
        <w:t xml:space="preserve"> </w:t>
      </w:r>
      <w:r w:rsidRPr="00D305B9">
        <w:rPr>
          <w:rFonts w:cstheme="minorHAnsi"/>
          <w:color w:val="000000"/>
          <w:sz w:val="24"/>
          <w:szCs w:val="24"/>
        </w:rPr>
        <w:t xml:space="preserve">Siç u tregua më lart, të dhënat nga studimet e mëdha të fazës III treguan se rezultatet e hemorragjive nën NOAC ishin të ngjashme (nëse jo më të mira) sesa </w:t>
      </w:r>
      <w:r>
        <w:rPr>
          <w:rFonts w:cstheme="minorHAnsi"/>
          <w:color w:val="000000"/>
          <w:sz w:val="24"/>
          <w:szCs w:val="24"/>
        </w:rPr>
        <w:t>ato</w:t>
      </w:r>
      <w:r w:rsidRPr="00D305B9">
        <w:rPr>
          <w:rFonts w:cstheme="minorHAnsi"/>
          <w:color w:val="000000"/>
          <w:sz w:val="24"/>
          <w:szCs w:val="24"/>
        </w:rPr>
        <w:t xml:space="preserve"> me VKA (me aplikimin e metodave të ndryshme kundra hemorragjis</w:t>
      </w:r>
      <w:r>
        <w:rPr>
          <w:rFonts w:cstheme="minorHAnsi"/>
          <w:color w:val="000000"/>
          <w:sz w:val="24"/>
          <w:szCs w:val="24"/>
        </w:rPr>
        <w:t>ë</w:t>
      </w:r>
      <w:r w:rsidRPr="00D305B9">
        <w:rPr>
          <w:rFonts w:cstheme="minorHAnsi"/>
          <w:color w:val="000000"/>
          <w:sz w:val="24"/>
          <w:szCs w:val="24"/>
        </w:rPr>
        <w:t xml:space="preserve"> duke përfshirë PCC/aPCC). Efikasiteti klinik i PCC</w:t>
      </w:r>
      <w:r>
        <w:rPr>
          <w:rFonts w:cstheme="minorHAnsi"/>
          <w:color w:val="000000"/>
          <w:sz w:val="24"/>
          <w:szCs w:val="24"/>
        </w:rPr>
        <w:t xml:space="preserve"> </w:t>
      </w:r>
      <w:r w:rsidRPr="00D305B9">
        <w:rPr>
          <w:rFonts w:cstheme="minorHAnsi"/>
          <w:color w:val="000000"/>
          <w:sz w:val="24"/>
          <w:szCs w:val="24"/>
        </w:rPr>
        <w:t xml:space="preserve">ose aPCC </w:t>
      </w:r>
      <w:r>
        <w:rPr>
          <w:rFonts w:cstheme="minorHAnsi"/>
          <w:color w:val="000000"/>
          <w:sz w:val="24"/>
          <w:szCs w:val="24"/>
        </w:rPr>
        <w:t>n</w:t>
      </w:r>
      <w:r w:rsidRPr="00D305B9">
        <w:rPr>
          <w:rFonts w:cstheme="minorHAnsi"/>
          <w:color w:val="000000"/>
          <w:sz w:val="24"/>
          <w:szCs w:val="24"/>
        </w:rPr>
        <w:t>ë pacientët që marrin NOAC të cilët kanë hemorragji aktive nuk është vërtetuar plotësisht në një studim</w:t>
      </w:r>
      <w:r>
        <w:rPr>
          <w:rFonts w:cstheme="minorHAnsi"/>
          <w:color w:val="000000"/>
          <w:sz w:val="24"/>
          <w:szCs w:val="24"/>
        </w:rPr>
        <w:t xml:space="preserve"> të madh</w:t>
      </w:r>
      <w:r w:rsidRPr="00D305B9">
        <w:rPr>
          <w:rFonts w:cstheme="minorHAnsi"/>
          <w:color w:val="000000"/>
          <w:sz w:val="24"/>
          <w:szCs w:val="24"/>
        </w:rPr>
        <w:t xml:space="preserve"> klinik rast</w:t>
      </w:r>
      <w:r>
        <w:rPr>
          <w:rFonts w:cstheme="minorHAnsi"/>
          <w:color w:val="000000"/>
          <w:sz w:val="24"/>
          <w:szCs w:val="24"/>
        </w:rPr>
        <w:t>ë</w:t>
      </w:r>
      <w:r w:rsidRPr="00D305B9">
        <w:rPr>
          <w:rFonts w:cstheme="minorHAnsi"/>
          <w:color w:val="000000"/>
          <w:sz w:val="24"/>
          <w:szCs w:val="24"/>
        </w:rPr>
        <w:t xml:space="preserve">sor. Megjithatë, janë publikuar disa studime vëzhguese në pacientët </w:t>
      </w:r>
      <w:r w:rsidRPr="00747219">
        <w:rPr>
          <w:rFonts w:cstheme="minorHAnsi"/>
          <w:b/>
          <w:bCs/>
          <w:color w:val="000000"/>
          <w:sz w:val="24"/>
          <w:szCs w:val="24"/>
        </w:rPr>
        <w:t>me hemorragji madhore</w:t>
      </w:r>
      <w:r w:rsidRPr="00D305B9">
        <w:rPr>
          <w:rFonts w:cstheme="minorHAnsi"/>
          <w:color w:val="000000"/>
          <w:sz w:val="24"/>
          <w:szCs w:val="24"/>
        </w:rPr>
        <w:t xml:space="preserve"> </w:t>
      </w:r>
      <w:r w:rsidRPr="00595376">
        <w:rPr>
          <w:rFonts w:cstheme="minorHAnsi"/>
          <w:color w:val="000000"/>
          <w:sz w:val="24"/>
          <w:szCs w:val="24"/>
        </w:rPr>
        <w:t>që tregojnë se PCC duket të jetë efikase në vendosjen e hemostazës</w:t>
      </w:r>
      <w:r>
        <w:rPr>
          <w:rFonts w:cstheme="minorHAnsi"/>
          <w:color w:val="000000"/>
          <w:sz w:val="24"/>
          <w:szCs w:val="24"/>
        </w:rPr>
        <w:t xml:space="preserve">. Këto studime të vogla kanë pasur </w:t>
      </w:r>
      <w:r w:rsidRPr="00D305B9">
        <w:rPr>
          <w:rFonts w:cstheme="minorHAnsi"/>
          <w:color w:val="000000"/>
          <w:sz w:val="24"/>
          <w:szCs w:val="24"/>
        </w:rPr>
        <w:t>disa kufizime</w:t>
      </w:r>
      <w:r>
        <w:rPr>
          <w:rFonts w:cstheme="minorHAnsi"/>
          <w:color w:val="000000"/>
          <w:sz w:val="24"/>
          <w:szCs w:val="24"/>
        </w:rPr>
        <w:t xml:space="preserve">, </w:t>
      </w:r>
      <w:r w:rsidRPr="00D305B9">
        <w:rPr>
          <w:rFonts w:cstheme="minorHAnsi"/>
          <w:color w:val="000000"/>
          <w:sz w:val="24"/>
          <w:szCs w:val="24"/>
        </w:rPr>
        <w:t>duke përfshirë faktin q</w:t>
      </w:r>
      <w:r>
        <w:rPr>
          <w:rFonts w:cstheme="minorHAnsi"/>
          <w:color w:val="000000"/>
          <w:sz w:val="24"/>
          <w:szCs w:val="24"/>
        </w:rPr>
        <w:t>ë</w:t>
      </w:r>
      <w:r w:rsidRPr="00D305B9">
        <w:rPr>
          <w:rFonts w:cstheme="minorHAnsi"/>
          <w:color w:val="000000"/>
          <w:sz w:val="24"/>
          <w:szCs w:val="24"/>
        </w:rPr>
        <w:t xml:space="preserve"> kan</w:t>
      </w:r>
      <w:r>
        <w:rPr>
          <w:rFonts w:cstheme="minorHAnsi"/>
          <w:color w:val="000000"/>
          <w:sz w:val="24"/>
          <w:szCs w:val="24"/>
        </w:rPr>
        <w:t>ë</w:t>
      </w:r>
      <w:r w:rsidRPr="00D305B9">
        <w:rPr>
          <w:rFonts w:cstheme="minorHAnsi"/>
          <w:color w:val="000000"/>
          <w:sz w:val="24"/>
          <w:szCs w:val="24"/>
        </w:rPr>
        <w:t xml:space="preserve"> q</w:t>
      </w:r>
      <w:r>
        <w:rPr>
          <w:rFonts w:cstheme="minorHAnsi"/>
          <w:color w:val="000000"/>
          <w:sz w:val="24"/>
          <w:szCs w:val="24"/>
        </w:rPr>
        <w:t>ë</w:t>
      </w:r>
      <w:r w:rsidRPr="00D305B9">
        <w:rPr>
          <w:rFonts w:cstheme="minorHAnsi"/>
          <w:color w:val="000000"/>
          <w:sz w:val="24"/>
          <w:szCs w:val="24"/>
        </w:rPr>
        <w:t>n</w:t>
      </w:r>
      <w:r>
        <w:rPr>
          <w:rFonts w:cstheme="minorHAnsi"/>
          <w:color w:val="000000"/>
          <w:sz w:val="24"/>
          <w:szCs w:val="24"/>
        </w:rPr>
        <w:t>ë</w:t>
      </w:r>
      <w:r w:rsidRPr="00D305B9">
        <w:rPr>
          <w:rFonts w:cstheme="minorHAnsi"/>
          <w:color w:val="000000"/>
          <w:sz w:val="24"/>
          <w:szCs w:val="24"/>
        </w:rPr>
        <w:t xml:space="preserve"> retrospektive, të pakontrolluar si dhe mungesën e një grupi kontrolli). Dobia e </w:t>
      </w:r>
      <w:r>
        <w:rPr>
          <w:rFonts w:cstheme="minorHAnsi"/>
          <w:color w:val="000000"/>
          <w:sz w:val="24"/>
          <w:szCs w:val="24"/>
        </w:rPr>
        <w:t xml:space="preserve">PCC dhe aPCC </w:t>
      </w:r>
      <w:r w:rsidRPr="00D305B9">
        <w:rPr>
          <w:rFonts w:cstheme="minorHAnsi"/>
          <w:color w:val="000000"/>
          <w:sz w:val="24"/>
          <w:szCs w:val="24"/>
        </w:rPr>
        <w:t xml:space="preserve">në </w:t>
      </w:r>
      <w:r w:rsidRPr="00747219">
        <w:rPr>
          <w:rFonts w:cstheme="minorHAnsi"/>
          <w:b/>
          <w:bCs/>
          <w:color w:val="000000"/>
          <w:sz w:val="24"/>
          <w:szCs w:val="24"/>
        </w:rPr>
        <w:t>hemorragjinë intrakraniale</w:t>
      </w:r>
      <w:r w:rsidRPr="00D305B9">
        <w:rPr>
          <w:rFonts w:cstheme="minorHAnsi"/>
          <w:color w:val="000000"/>
          <w:sz w:val="24"/>
          <w:szCs w:val="24"/>
        </w:rPr>
        <w:t>, nga ana tjetër, është e pasigurt.  K</w:t>
      </w:r>
      <w:r>
        <w:rPr>
          <w:rFonts w:cstheme="minorHAnsi"/>
          <w:color w:val="000000"/>
          <w:sz w:val="24"/>
          <w:szCs w:val="24"/>
        </w:rPr>
        <w:t>ë</w:t>
      </w:r>
      <w:r w:rsidRPr="00D305B9">
        <w:rPr>
          <w:rFonts w:cstheme="minorHAnsi"/>
          <w:color w:val="000000"/>
          <w:sz w:val="24"/>
          <w:szCs w:val="24"/>
        </w:rPr>
        <w:t>shtu administrimi i PCC dhe aPCC mund t</w:t>
      </w:r>
      <w:r>
        <w:rPr>
          <w:rFonts w:cstheme="minorHAnsi"/>
          <w:color w:val="000000"/>
          <w:sz w:val="24"/>
          <w:szCs w:val="24"/>
        </w:rPr>
        <w:t>ë</w:t>
      </w:r>
      <w:r w:rsidRPr="00D305B9">
        <w:rPr>
          <w:rFonts w:cstheme="minorHAnsi"/>
          <w:color w:val="000000"/>
          <w:sz w:val="24"/>
          <w:szCs w:val="24"/>
        </w:rPr>
        <w:t xml:space="preserve"> merret n</w:t>
      </w:r>
      <w:r>
        <w:rPr>
          <w:rFonts w:cstheme="minorHAnsi"/>
          <w:color w:val="000000"/>
          <w:sz w:val="24"/>
          <w:szCs w:val="24"/>
        </w:rPr>
        <w:t>ë</w:t>
      </w:r>
      <w:r w:rsidRPr="00D305B9">
        <w:rPr>
          <w:rFonts w:cstheme="minorHAnsi"/>
          <w:color w:val="000000"/>
          <w:sz w:val="24"/>
          <w:szCs w:val="24"/>
        </w:rPr>
        <w:t xml:space="preserve"> konsiderat</w:t>
      </w:r>
      <w:r>
        <w:rPr>
          <w:rFonts w:cstheme="minorHAnsi"/>
          <w:color w:val="000000"/>
          <w:sz w:val="24"/>
          <w:szCs w:val="24"/>
        </w:rPr>
        <w:t>ë</w:t>
      </w:r>
      <w:r w:rsidRPr="00D305B9">
        <w:rPr>
          <w:rFonts w:cstheme="minorHAnsi"/>
          <w:color w:val="000000"/>
          <w:sz w:val="24"/>
          <w:szCs w:val="24"/>
        </w:rPr>
        <w:t xml:space="preserve"> n</w:t>
      </w:r>
      <w:r>
        <w:rPr>
          <w:rFonts w:cstheme="minorHAnsi"/>
          <w:color w:val="000000"/>
          <w:sz w:val="24"/>
          <w:szCs w:val="24"/>
        </w:rPr>
        <w:t>ë</w:t>
      </w:r>
      <w:r w:rsidRPr="00D305B9">
        <w:rPr>
          <w:rFonts w:cstheme="minorHAnsi"/>
          <w:color w:val="000000"/>
          <w:sz w:val="24"/>
          <w:szCs w:val="24"/>
        </w:rPr>
        <w:t xml:space="preserve"> hemorragjit</w:t>
      </w:r>
      <w:r>
        <w:rPr>
          <w:rFonts w:cstheme="minorHAnsi"/>
          <w:color w:val="000000"/>
          <w:sz w:val="24"/>
          <w:szCs w:val="24"/>
        </w:rPr>
        <w:t>ë</w:t>
      </w:r>
      <w:r w:rsidRPr="00D305B9">
        <w:rPr>
          <w:rFonts w:cstheme="minorHAnsi"/>
          <w:color w:val="000000"/>
          <w:sz w:val="24"/>
          <w:szCs w:val="24"/>
        </w:rPr>
        <w:t xml:space="preserve"> kërcënuese p</w:t>
      </w:r>
      <w:r>
        <w:rPr>
          <w:rFonts w:cstheme="minorHAnsi"/>
          <w:color w:val="000000"/>
          <w:sz w:val="24"/>
          <w:szCs w:val="24"/>
        </w:rPr>
        <w:t>ë</w:t>
      </w:r>
      <w:r w:rsidRPr="00D305B9">
        <w:rPr>
          <w:rFonts w:cstheme="minorHAnsi"/>
          <w:color w:val="000000"/>
          <w:sz w:val="24"/>
          <w:szCs w:val="24"/>
        </w:rPr>
        <w:t>r jet</w:t>
      </w:r>
      <w:r>
        <w:rPr>
          <w:rFonts w:cstheme="minorHAnsi"/>
          <w:color w:val="000000"/>
          <w:sz w:val="24"/>
          <w:szCs w:val="24"/>
        </w:rPr>
        <w:t>ë</w:t>
      </w:r>
      <w:r w:rsidRPr="00D305B9">
        <w:rPr>
          <w:rFonts w:cstheme="minorHAnsi"/>
          <w:color w:val="000000"/>
          <w:sz w:val="24"/>
          <w:szCs w:val="24"/>
        </w:rPr>
        <w:t xml:space="preserve">n nëse kërkohet mbështetje e menjëhershme hemostatike, veçanërisht në situatat kur një agjent specifik rikthimi (antidot) nuk është i disponueshëm ose </w:t>
      </w:r>
      <w:r>
        <w:rPr>
          <w:rFonts w:cstheme="minorHAnsi"/>
          <w:color w:val="000000"/>
          <w:sz w:val="24"/>
          <w:szCs w:val="24"/>
        </w:rPr>
        <w:t>ë</w:t>
      </w:r>
      <w:r w:rsidRPr="00D305B9">
        <w:rPr>
          <w:rFonts w:cstheme="minorHAnsi"/>
          <w:color w:val="000000"/>
          <w:sz w:val="24"/>
          <w:szCs w:val="24"/>
        </w:rPr>
        <w:t>sht</w:t>
      </w:r>
      <w:r>
        <w:rPr>
          <w:rFonts w:cstheme="minorHAnsi"/>
          <w:color w:val="000000"/>
          <w:sz w:val="24"/>
          <w:szCs w:val="24"/>
        </w:rPr>
        <w:t>ë</w:t>
      </w:r>
      <w:r w:rsidRPr="00D305B9">
        <w:rPr>
          <w:rFonts w:cstheme="minorHAnsi"/>
          <w:color w:val="000000"/>
          <w:sz w:val="24"/>
          <w:szCs w:val="24"/>
        </w:rPr>
        <w:t xml:space="preserve"> shumë i kushtueshëm. Zgjedhja midis PCC dhe aPCC mund të varet nga disponueshmëria e tyre dhe përvoja e qendrës së trajtimit. Siç tregohet, aPCC shkakton një efekt të fortë pro-koagulant dhe duhet të përdoret vetëm nga mjekë me përvojë në përdorimin e tyre. </w:t>
      </w:r>
    </w:p>
    <w:p w14:paraId="6D87F152" w14:textId="77777777" w:rsidR="009E1860" w:rsidRPr="00D305B9" w:rsidRDefault="009E1860" w:rsidP="009E1860">
      <w:pPr>
        <w:rPr>
          <w:rFonts w:cstheme="minorHAnsi"/>
          <w:color w:val="000000"/>
          <w:sz w:val="24"/>
          <w:szCs w:val="24"/>
        </w:rPr>
      </w:pPr>
      <w:r w:rsidRPr="00D305B9">
        <w:rPr>
          <w:rFonts w:cstheme="minorHAnsi"/>
          <w:color w:val="000000"/>
          <w:sz w:val="24"/>
          <w:szCs w:val="24"/>
        </w:rPr>
        <w:t xml:space="preserve">PCC dhe aPCC preferohen mbi faktorin VIIa të aktivizuar rekombinant (90 mg/kg) duke pasur parasysh mungesën e ndonjë të dhëne mbi rezultatin </w:t>
      </w:r>
      <w:r>
        <w:rPr>
          <w:rFonts w:cstheme="minorHAnsi"/>
          <w:color w:val="000000"/>
          <w:sz w:val="24"/>
          <w:szCs w:val="24"/>
        </w:rPr>
        <w:t xml:space="preserve">e tij në rivendosjen e hemostazës si </w:t>
      </w:r>
      <w:r w:rsidRPr="00D305B9">
        <w:rPr>
          <w:rFonts w:cstheme="minorHAnsi"/>
          <w:color w:val="000000"/>
          <w:sz w:val="24"/>
          <w:szCs w:val="24"/>
        </w:rPr>
        <w:t>dhe efektin e theksuar pro-koagulant të këtij të fundit.  Plazma e freskët e ngrirë (FFP) nuk konsiderohet më një strategji e dobishme p</w:t>
      </w:r>
      <w:r>
        <w:rPr>
          <w:rFonts w:cstheme="minorHAnsi"/>
          <w:color w:val="000000"/>
          <w:sz w:val="24"/>
          <w:szCs w:val="24"/>
        </w:rPr>
        <w:t>ë</w:t>
      </w:r>
      <w:r w:rsidRPr="00D305B9">
        <w:rPr>
          <w:rFonts w:cstheme="minorHAnsi"/>
          <w:color w:val="000000"/>
          <w:sz w:val="24"/>
          <w:szCs w:val="24"/>
        </w:rPr>
        <w:t>r menaxhimin hemorragjik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kryesisht për shkak se nivelet e larta plazmatike t</w:t>
      </w:r>
      <w:r>
        <w:rPr>
          <w:rFonts w:cstheme="minorHAnsi"/>
          <w:color w:val="000000"/>
          <w:sz w:val="24"/>
          <w:szCs w:val="24"/>
        </w:rPr>
        <w:t>ë</w:t>
      </w:r>
      <w:r w:rsidRPr="00D305B9">
        <w:rPr>
          <w:rFonts w:cstheme="minorHAnsi"/>
          <w:color w:val="000000"/>
          <w:sz w:val="24"/>
          <w:szCs w:val="24"/>
        </w:rPr>
        <w:t xml:space="preserve"> NOAC-</w:t>
      </w:r>
      <w:r>
        <w:rPr>
          <w:rFonts w:cstheme="minorHAnsi"/>
          <w:color w:val="000000"/>
          <w:sz w:val="24"/>
          <w:szCs w:val="24"/>
        </w:rPr>
        <w:t>ë</w:t>
      </w:r>
      <w:r w:rsidRPr="00D305B9">
        <w:rPr>
          <w:rFonts w:cstheme="minorHAnsi"/>
          <w:color w:val="000000"/>
          <w:sz w:val="24"/>
          <w:szCs w:val="24"/>
        </w:rPr>
        <w:t>ve n</w:t>
      </w:r>
      <w:r>
        <w:rPr>
          <w:rFonts w:cstheme="minorHAnsi"/>
          <w:color w:val="000000"/>
          <w:sz w:val="24"/>
          <w:szCs w:val="24"/>
        </w:rPr>
        <w:t>ë</w:t>
      </w:r>
      <w:r w:rsidRPr="00D305B9">
        <w:rPr>
          <w:rFonts w:cstheme="minorHAnsi"/>
          <w:color w:val="000000"/>
          <w:sz w:val="24"/>
          <w:szCs w:val="24"/>
        </w:rPr>
        <w:t xml:space="preserve"> gjak do të asnjan</w:t>
      </w:r>
      <w:r>
        <w:rPr>
          <w:rFonts w:cstheme="minorHAnsi"/>
          <w:color w:val="000000"/>
          <w:sz w:val="24"/>
          <w:szCs w:val="24"/>
        </w:rPr>
        <w:t>ë</w:t>
      </w:r>
      <w:r w:rsidRPr="00D305B9">
        <w:rPr>
          <w:rFonts w:cstheme="minorHAnsi"/>
          <w:color w:val="000000"/>
          <w:sz w:val="24"/>
          <w:szCs w:val="24"/>
        </w:rPr>
        <w:t>sonin faktorët e koagulimit të marr</w:t>
      </w:r>
      <w:r>
        <w:rPr>
          <w:rFonts w:cstheme="minorHAnsi"/>
          <w:color w:val="000000"/>
          <w:sz w:val="24"/>
          <w:szCs w:val="24"/>
        </w:rPr>
        <w:t>ë</w:t>
      </w:r>
      <w:r w:rsidRPr="00D305B9">
        <w:rPr>
          <w:rFonts w:cstheme="minorHAnsi"/>
          <w:color w:val="000000"/>
          <w:sz w:val="24"/>
          <w:szCs w:val="24"/>
        </w:rPr>
        <w:t xml:space="preserve"> me FFP dhe p</w:t>
      </w:r>
      <w:r>
        <w:rPr>
          <w:rFonts w:cstheme="minorHAnsi"/>
          <w:color w:val="000000"/>
          <w:sz w:val="24"/>
          <w:szCs w:val="24"/>
        </w:rPr>
        <w:t>ë</w:t>
      </w:r>
      <w:r w:rsidRPr="00D305B9">
        <w:rPr>
          <w:rFonts w:cstheme="minorHAnsi"/>
          <w:color w:val="000000"/>
          <w:sz w:val="24"/>
          <w:szCs w:val="24"/>
        </w:rPr>
        <w:t>r shkak se p</w:t>
      </w:r>
      <w:r>
        <w:rPr>
          <w:rFonts w:cstheme="minorHAnsi"/>
          <w:color w:val="000000"/>
          <w:sz w:val="24"/>
          <w:szCs w:val="24"/>
        </w:rPr>
        <w:t>ë</w:t>
      </w:r>
      <w:r w:rsidRPr="00D305B9">
        <w:rPr>
          <w:rFonts w:cstheme="minorHAnsi"/>
          <w:color w:val="000000"/>
          <w:sz w:val="24"/>
          <w:szCs w:val="24"/>
        </w:rPr>
        <w:t>r t</w:t>
      </w:r>
      <w:r>
        <w:rPr>
          <w:rFonts w:cstheme="minorHAnsi"/>
          <w:color w:val="000000"/>
          <w:sz w:val="24"/>
          <w:szCs w:val="24"/>
        </w:rPr>
        <w:t>ë</w:t>
      </w:r>
      <w:r w:rsidRPr="00D305B9">
        <w:rPr>
          <w:rFonts w:cstheme="minorHAnsi"/>
          <w:color w:val="000000"/>
          <w:sz w:val="24"/>
          <w:szCs w:val="24"/>
        </w:rPr>
        <w:t xml:space="preserve"> patur ndonj</w:t>
      </w:r>
      <w:r>
        <w:rPr>
          <w:rFonts w:cstheme="minorHAnsi"/>
          <w:color w:val="000000"/>
          <w:sz w:val="24"/>
          <w:szCs w:val="24"/>
        </w:rPr>
        <w:t>ë</w:t>
      </w:r>
      <w:r w:rsidRPr="00D305B9">
        <w:rPr>
          <w:rFonts w:cstheme="minorHAnsi"/>
          <w:color w:val="000000"/>
          <w:sz w:val="24"/>
          <w:szCs w:val="24"/>
        </w:rPr>
        <w:t xml:space="preserve"> efekt koagulues, do t</w:t>
      </w:r>
      <w:r>
        <w:rPr>
          <w:rFonts w:cstheme="minorHAnsi"/>
          <w:color w:val="000000"/>
          <w:sz w:val="24"/>
          <w:szCs w:val="24"/>
        </w:rPr>
        <w:t>ë</w:t>
      </w:r>
      <w:r w:rsidRPr="00D305B9">
        <w:rPr>
          <w:rFonts w:cstheme="minorHAnsi"/>
          <w:color w:val="000000"/>
          <w:sz w:val="24"/>
          <w:szCs w:val="24"/>
        </w:rPr>
        <w:t xml:space="preserve"> nevojitej nje v</w:t>
      </w:r>
      <w:r>
        <w:rPr>
          <w:rFonts w:cstheme="minorHAnsi"/>
          <w:color w:val="000000"/>
          <w:sz w:val="24"/>
          <w:szCs w:val="24"/>
        </w:rPr>
        <w:t>ë</w:t>
      </w:r>
      <w:r w:rsidRPr="00D305B9">
        <w:rPr>
          <w:rFonts w:cstheme="minorHAnsi"/>
          <w:color w:val="000000"/>
          <w:sz w:val="24"/>
          <w:szCs w:val="24"/>
        </w:rPr>
        <w:t>llim i madh i FFP-së. Vitamina K dhe administrimi i protaminës nuk kanë asnjë rol në menaxhimin e një hemorragjie nën NOAC; këto mund të jenë të dobishme vetëm në menaxhimin e hemorragjis</w:t>
      </w:r>
      <w:r>
        <w:rPr>
          <w:rFonts w:cstheme="minorHAnsi"/>
          <w:color w:val="000000"/>
          <w:sz w:val="24"/>
          <w:szCs w:val="24"/>
        </w:rPr>
        <w:t>ë</w:t>
      </w:r>
      <w:r w:rsidRPr="00D305B9">
        <w:rPr>
          <w:rFonts w:cstheme="minorHAnsi"/>
          <w:color w:val="000000"/>
          <w:sz w:val="24"/>
          <w:szCs w:val="24"/>
        </w:rPr>
        <w:t xml:space="preserve"> nën NOAC kur dyshohet se pacienti vuan nga mungesa e vitaminës K ose në rast të trajtimit të njëkohshëm me heparina.</w:t>
      </w:r>
    </w:p>
    <w:p w14:paraId="1341B68D" w14:textId="77777777" w:rsidR="009E1860" w:rsidRPr="00D305B9" w:rsidRDefault="009E1860" w:rsidP="009E1860">
      <w:pPr>
        <w:rPr>
          <w:rFonts w:cstheme="minorHAnsi"/>
          <w:color w:val="000000"/>
          <w:sz w:val="24"/>
          <w:szCs w:val="24"/>
        </w:rPr>
      </w:pPr>
    </w:p>
    <w:p w14:paraId="5B04F818" w14:textId="77777777" w:rsidR="009E1860" w:rsidRPr="00962BE2" w:rsidRDefault="009E1860" w:rsidP="009E1860">
      <w:pPr>
        <w:rPr>
          <w:rFonts w:cstheme="minorHAnsi"/>
          <w:b/>
          <w:bCs/>
          <w:color w:val="000000"/>
          <w:sz w:val="24"/>
          <w:szCs w:val="24"/>
        </w:rPr>
      </w:pPr>
      <w:r>
        <w:rPr>
          <w:rFonts w:cstheme="minorHAnsi"/>
          <w:b/>
          <w:bCs/>
          <w:color w:val="000000"/>
          <w:sz w:val="24"/>
          <w:szCs w:val="24"/>
        </w:rPr>
        <w:t xml:space="preserve">4.2.3 </w:t>
      </w:r>
      <w:r w:rsidRPr="00962BE2">
        <w:rPr>
          <w:rFonts w:cstheme="minorHAnsi"/>
          <w:b/>
          <w:bCs/>
          <w:color w:val="000000"/>
          <w:sz w:val="24"/>
          <w:szCs w:val="24"/>
        </w:rPr>
        <w:t>(Ri-)fillimi i antikoagulimit pas hemorragjis</w:t>
      </w:r>
      <w:r>
        <w:rPr>
          <w:rFonts w:cstheme="minorHAnsi"/>
          <w:b/>
          <w:bCs/>
          <w:color w:val="000000"/>
          <w:sz w:val="24"/>
          <w:szCs w:val="24"/>
        </w:rPr>
        <w:t>ë</w:t>
      </w:r>
      <w:r w:rsidRPr="00962BE2">
        <w:rPr>
          <w:rFonts w:cstheme="minorHAnsi"/>
          <w:b/>
          <w:bCs/>
          <w:color w:val="000000"/>
          <w:sz w:val="24"/>
          <w:szCs w:val="24"/>
        </w:rPr>
        <w:t xml:space="preserve"> ekstrakraniale </w:t>
      </w:r>
    </w:p>
    <w:p w14:paraId="68AE8563" w14:textId="77777777" w:rsidR="009E1860" w:rsidRDefault="009E1860" w:rsidP="009E1860">
      <w:pPr>
        <w:rPr>
          <w:rFonts w:cstheme="minorHAnsi"/>
          <w:color w:val="000000"/>
          <w:sz w:val="24"/>
          <w:szCs w:val="24"/>
        </w:rPr>
      </w:pPr>
      <w:r w:rsidRPr="00D305B9">
        <w:rPr>
          <w:rFonts w:cstheme="minorHAnsi"/>
          <w:color w:val="000000"/>
          <w:sz w:val="24"/>
          <w:szCs w:val="24"/>
        </w:rPr>
        <w:t>Në shumicën e hemorragjive të vogla, antikoagul</w:t>
      </w:r>
      <w:r>
        <w:rPr>
          <w:rFonts w:cstheme="minorHAnsi"/>
          <w:color w:val="000000"/>
          <w:sz w:val="24"/>
          <w:szCs w:val="24"/>
        </w:rPr>
        <w:t xml:space="preserve">anti nuk fillohet menjëherë pas hemorragjisë por pas një ndërprerje të shkurtër (p.sh. nuk merret doza e rradhës ose vonohet doza e rradhës e rradhës). </w:t>
      </w:r>
      <w:r w:rsidRPr="00D305B9">
        <w:rPr>
          <w:rFonts w:cstheme="minorHAnsi"/>
          <w:color w:val="000000"/>
          <w:sz w:val="24"/>
          <w:szCs w:val="24"/>
        </w:rPr>
        <w:t>Të gjitha hemorragjit</w:t>
      </w:r>
      <w:r>
        <w:rPr>
          <w:rFonts w:cstheme="minorHAnsi"/>
          <w:color w:val="000000"/>
          <w:sz w:val="24"/>
          <w:szCs w:val="24"/>
        </w:rPr>
        <w:t>ë</w:t>
      </w:r>
      <w:r w:rsidRPr="00D305B9">
        <w:rPr>
          <w:rFonts w:cstheme="minorHAnsi"/>
          <w:color w:val="000000"/>
          <w:sz w:val="24"/>
          <w:szCs w:val="24"/>
        </w:rPr>
        <w:t xml:space="preserve"> e tjera, veçanërisht episodet e hemorragji</w:t>
      </w:r>
      <w:r>
        <w:rPr>
          <w:rFonts w:cstheme="minorHAnsi"/>
          <w:color w:val="000000"/>
          <w:sz w:val="24"/>
          <w:szCs w:val="24"/>
        </w:rPr>
        <w:t>së</w:t>
      </w:r>
      <w:r w:rsidRPr="00D305B9">
        <w:rPr>
          <w:rFonts w:cstheme="minorHAnsi"/>
          <w:color w:val="000000"/>
          <w:sz w:val="24"/>
          <w:szCs w:val="24"/>
        </w:rPr>
        <w:t xml:space="preserve"> kërcënuese për jetën, kërkojnë një rivlerësim të kujdesshëm të rreziqeve dhe përfitimeve të rifillimit të antikoagulimit. Në shumicën e hemorragjive </w:t>
      </w:r>
      <w:r>
        <w:rPr>
          <w:rFonts w:cstheme="minorHAnsi"/>
          <w:color w:val="000000"/>
          <w:sz w:val="24"/>
          <w:szCs w:val="24"/>
        </w:rPr>
        <w:t xml:space="preserve">nga </w:t>
      </w:r>
      <w:r w:rsidRPr="00D305B9">
        <w:rPr>
          <w:rFonts w:cstheme="minorHAnsi"/>
          <w:color w:val="000000"/>
          <w:sz w:val="24"/>
          <w:szCs w:val="24"/>
        </w:rPr>
        <w:t>shka</w:t>
      </w:r>
      <w:r>
        <w:rPr>
          <w:rFonts w:cstheme="minorHAnsi"/>
          <w:color w:val="000000"/>
          <w:sz w:val="24"/>
          <w:szCs w:val="24"/>
        </w:rPr>
        <w:t>qe</w:t>
      </w:r>
      <w:r w:rsidRPr="00D305B9">
        <w:rPr>
          <w:rFonts w:cstheme="minorHAnsi"/>
          <w:color w:val="000000"/>
          <w:sz w:val="24"/>
          <w:szCs w:val="24"/>
        </w:rPr>
        <w:t xml:space="preserve"> dytësore (p.sh. hemorragji pas traumës) dhe/ose të kthyeshme (p.sh. hemorragji gjenito-urinar</w:t>
      </w:r>
      <w:r>
        <w:rPr>
          <w:rFonts w:cstheme="minorHAnsi"/>
          <w:color w:val="000000"/>
          <w:sz w:val="24"/>
          <w:szCs w:val="24"/>
        </w:rPr>
        <w:t>e</w:t>
      </w:r>
      <w:r w:rsidRPr="00D305B9">
        <w:rPr>
          <w:rFonts w:cstheme="minorHAnsi"/>
          <w:color w:val="000000"/>
          <w:sz w:val="24"/>
          <w:szCs w:val="24"/>
        </w:rPr>
        <w:t xml:space="preserve"> për shkak të kancerit) antikoagulimi mund të rifillojë pasi të jetë eliminuar shkaku i hemorragjis</w:t>
      </w:r>
      <w:r>
        <w:rPr>
          <w:rFonts w:cstheme="minorHAnsi"/>
          <w:color w:val="000000"/>
          <w:sz w:val="24"/>
          <w:szCs w:val="24"/>
        </w:rPr>
        <w:t>ë</w:t>
      </w:r>
      <w:r w:rsidRPr="00D305B9">
        <w:rPr>
          <w:rFonts w:cstheme="minorHAnsi"/>
          <w:color w:val="000000"/>
          <w:sz w:val="24"/>
          <w:szCs w:val="24"/>
        </w:rPr>
        <w:t>. Siç është ilustruar për hemorragjit</w:t>
      </w:r>
      <w:r>
        <w:rPr>
          <w:rFonts w:cstheme="minorHAnsi"/>
          <w:color w:val="000000"/>
          <w:sz w:val="24"/>
          <w:szCs w:val="24"/>
        </w:rPr>
        <w:t>ë</w:t>
      </w:r>
      <w:r w:rsidRPr="00D305B9">
        <w:rPr>
          <w:rFonts w:cstheme="minorHAnsi"/>
          <w:color w:val="000000"/>
          <w:sz w:val="24"/>
          <w:szCs w:val="24"/>
        </w:rPr>
        <w:t xml:space="preserve"> gastro-intestinale, duhet të merren parasysh shumë faktorë shtesë (</w:t>
      </w:r>
      <w:r>
        <w:rPr>
          <w:rFonts w:cstheme="minorHAnsi"/>
          <w:color w:val="000000"/>
          <w:sz w:val="24"/>
          <w:szCs w:val="24"/>
        </w:rPr>
        <w:t>shiko figurën ‘</w:t>
      </w:r>
      <w:r w:rsidRPr="004434E7">
        <w:rPr>
          <w:rFonts w:cstheme="minorHAnsi"/>
          <w:color w:val="000000"/>
          <w:sz w:val="24"/>
          <w:szCs w:val="24"/>
        </w:rPr>
        <w:t xml:space="preserve"> Ri(fillimi i antikoagulimit pas nj</w:t>
      </w:r>
      <w:r>
        <w:rPr>
          <w:rFonts w:cstheme="minorHAnsi"/>
          <w:color w:val="000000"/>
          <w:sz w:val="24"/>
          <w:szCs w:val="24"/>
        </w:rPr>
        <w:t>ë</w:t>
      </w:r>
      <w:r w:rsidRPr="004434E7">
        <w:rPr>
          <w:rFonts w:cstheme="minorHAnsi"/>
          <w:color w:val="000000"/>
          <w:sz w:val="24"/>
          <w:szCs w:val="24"/>
        </w:rPr>
        <w:t xml:space="preserve"> hemorragjie gastro-intestinale</w:t>
      </w:r>
      <w:r>
        <w:rPr>
          <w:rFonts w:cstheme="minorHAnsi"/>
          <w:color w:val="000000"/>
          <w:sz w:val="24"/>
          <w:szCs w:val="24"/>
        </w:rPr>
        <w:t>’</w:t>
      </w:r>
      <w:r w:rsidRPr="00D305B9">
        <w:rPr>
          <w:rFonts w:cstheme="minorHAnsi"/>
          <w:color w:val="000000"/>
          <w:sz w:val="24"/>
          <w:szCs w:val="24"/>
        </w:rPr>
        <w:t>). Anasjelltas, për hemorragjite e rënda dhe kërcënuese për jetën pa një shkak të qartë dytësor ose të kthyeshëm/të trajtueshëm, rreziqet e rifillimit të antikoagulimit mund të tejkalojnë përfitimet. Në raste të tilla, implantimi i një bllokuesi n</w:t>
      </w:r>
      <w:r>
        <w:rPr>
          <w:rFonts w:cstheme="minorHAnsi"/>
          <w:color w:val="000000"/>
          <w:sz w:val="24"/>
          <w:szCs w:val="24"/>
        </w:rPr>
        <w:t>ë</w:t>
      </w:r>
      <w:r w:rsidRPr="00D305B9">
        <w:rPr>
          <w:rFonts w:cstheme="minorHAnsi"/>
          <w:color w:val="000000"/>
          <w:sz w:val="24"/>
          <w:szCs w:val="24"/>
        </w:rPr>
        <w:t xml:space="preserve"> apendiksin e atriumit t</w:t>
      </w:r>
      <w:r>
        <w:rPr>
          <w:rFonts w:cstheme="minorHAnsi"/>
          <w:color w:val="000000"/>
          <w:sz w:val="24"/>
          <w:szCs w:val="24"/>
        </w:rPr>
        <w:t>ë</w:t>
      </w:r>
      <w:r w:rsidRPr="00D305B9">
        <w:rPr>
          <w:rFonts w:cstheme="minorHAnsi"/>
          <w:color w:val="000000"/>
          <w:sz w:val="24"/>
          <w:szCs w:val="24"/>
        </w:rPr>
        <w:t xml:space="preserve"> majt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(Left Atrium Apendix-LAA) </w:t>
      </w:r>
      <w:r w:rsidRPr="00D305B9">
        <w:rPr>
          <w:rFonts w:cstheme="minorHAnsi"/>
          <w:color w:val="000000"/>
          <w:sz w:val="24"/>
          <w:szCs w:val="24"/>
        </w:rPr>
        <w:t xml:space="preserve">ose okluzioni kirurgjikal i </w:t>
      </w:r>
      <w:r>
        <w:rPr>
          <w:rFonts w:cstheme="minorHAnsi"/>
          <w:color w:val="000000"/>
          <w:sz w:val="24"/>
          <w:szCs w:val="24"/>
        </w:rPr>
        <w:t xml:space="preserve">apendiksit të atriumit të majtë </w:t>
      </w:r>
      <w:r w:rsidRPr="00D305B9">
        <w:rPr>
          <w:rFonts w:cstheme="minorHAnsi"/>
          <w:color w:val="000000"/>
          <w:sz w:val="24"/>
          <w:szCs w:val="24"/>
        </w:rPr>
        <w:t xml:space="preserve">mund të konsiderohet si një zëvendësues i mundshëm </w:t>
      </w:r>
      <w:r>
        <w:rPr>
          <w:rFonts w:cstheme="minorHAnsi"/>
          <w:color w:val="000000"/>
          <w:sz w:val="24"/>
          <w:szCs w:val="24"/>
        </w:rPr>
        <w:t>i</w:t>
      </w:r>
      <w:r w:rsidRPr="00D305B9">
        <w:rPr>
          <w:rFonts w:cstheme="minorHAnsi"/>
          <w:color w:val="000000"/>
          <w:sz w:val="24"/>
          <w:szCs w:val="24"/>
        </w:rPr>
        <w:t xml:space="preserve"> antikoagulimi</w:t>
      </w:r>
      <w:r>
        <w:rPr>
          <w:rFonts w:cstheme="minorHAnsi"/>
          <w:color w:val="000000"/>
          <w:sz w:val="24"/>
          <w:szCs w:val="24"/>
        </w:rPr>
        <w:t>t</w:t>
      </w:r>
      <w:r w:rsidRPr="00D305B9">
        <w:rPr>
          <w:rFonts w:cstheme="minorHAnsi"/>
          <w:color w:val="000000"/>
          <w:sz w:val="24"/>
          <w:szCs w:val="24"/>
        </w:rPr>
        <w:t xml:space="preserve"> afatgjatë</w:t>
      </w:r>
      <w:r>
        <w:rPr>
          <w:rFonts w:cstheme="minorHAnsi"/>
          <w:color w:val="000000"/>
          <w:sz w:val="24"/>
          <w:szCs w:val="24"/>
        </w:rPr>
        <w:t>. P</w:t>
      </w:r>
      <w:r w:rsidRPr="00D305B9">
        <w:rPr>
          <w:rFonts w:cstheme="minorHAnsi"/>
          <w:color w:val="000000"/>
          <w:sz w:val="24"/>
          <w:szCs w:val="24"/>
        </w:rPr>
        <w:t>or p</w:t>
      </w:r>
      <w:r>
        <w:rPr>
          <w:rFonts w:cstheme="minorHAnsi"/>
          <w:color w:val="000000"/>
          <w:sz w:val="24"/>
          <w:szCs w:val="24"/>
        </w:rPr>
        <w:t>ë</w:t>
      </w:r>
      <w:r w:rsidRPr="00D305B9">
        <w:rPr>
          <w:rFonts w:cstheme="minorHAnsi"/>
          <w:color w:val="000000"/>
          <w:sz w:val="24"/>
          <w:szCs w:val="24"/>
        </w:rPr>
        <w:t>rs</w:t>
      </w:r>
      <w:r>
        <w:rPr>
          <w:rFonts w:cstheme="minorHAnsi"/>
          <w:color w:val="000000"/>
          <w:sz w:val="24"/>
          <w:szCs w:val="24"/>
        </w:rPr>
        <w:t>ë</w:t>
      </w:r>
      <w:r w:rsidRPr="00D305B9">
        <w:rPr>
          <w:rFonts w:cstheme="minorHAnsi"/>
          <w:color w:val="000000"/>
          <w:sz w:val="24"/>
          <w:szCs w:val="24"/>
        </w:rPr>
        <w:t>ri mungojn</w:t>
      </w:r>
      <w:r>
        <w:rPr>
          <w:rFonts w:cstheme="minorHAnsi"/>
          <w:color w:val="000000"/>
          <w:sz w:val="24"/>
          <w:szCs w:val="24"/>
        </w:rPr>
        <w:t>ë</w:t>
      </w:r>
      <w:r w:rsidRPr="00D305B9">
        <w:rPr>
          <w:rFonts w:cstheme="minorHAnsi"/>
          <w:color w:val="000000"/>
          <w:sz w:val="24"/>
          <w:szCs w:val="24"/>
        </w:rPr>
        <w:t xml:space="preserve"> studimet klinike rast</w:t>
      </w:r>
      <w:r>
        <w:rPr>
          <w:rFonts w:cstheme="minorHAnsi"/>
          <w:color w:val="000000"/>
          <w:sz w:val="24"/>
          <w:szCs w:val="24"/>
        </w:rPr>
        <w:t>ë</w:t>
      </w:r>
      <w:r w:rsidRPr="00D305B9">
        <w:rPr>
          <w:rFonts w:cstheme="minorHAnsi"/>
          <w:color w:val="000000"/>
          <w:sz w:val="24"/>
          <w:szCs w:val="24"/>
        </w:rPr>
        <w:t>sore mbi rezultatet e okluzionit t</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 xml:space="preserve">apendiksit të atriumit të majtë </w:t>
      </w:r>
      <w:r w:rsidRPr="00D305B9">
        <w:rPr>
          <w:rFonts w:cstheme="minorHAnsi"/>
          <w:color w:val="000000"/>
          <w:sz w:val="24"/>
          <w:szCs w:val="24"/>
        </w:rPr>
        <w:t xml:space="preserve"> pas hemorragjis</w:t>
      </w:r>
      <w:r>
        <w:rPr>
          <w:rFonts w:cstheme="minorHAnsi"/>
          <w:color w:val="000000"/>
          <w:sz w:val="24"/>
          <w:szCs w:val="24"/>
        </w:rPr>
        <w:t>ë</w:t>
      </w:r>
      <w:r w:rsidRPr="00D305B9">
        <w:rPr>
          <w:rFonts w:cstheme="minorHAnsi"/>
          <w:color w:val="000000"/>
          <w:sz w:val="24"/>
          <w:szCs w:val="24"/>
        </w:rPr>
        <w:t xml:space="preserve"> nën antikoagulant</w:t>
      </w:r>
      <w:r>
        <w:rPr>
          <w:rFonts w:cstheme="minorHAnsi"/>
          <w:color w:val="000000"/>
          <w:sz w:val="24"/>
          <w:szCs w:val="24"/>
        </w:rPr>
        <w:t>ë</w:t>
      </w:r>
      <w:r w:rsidRPr="00D305B9">
        <w:rPr>
          <w:rFonts w:cstheme="minorHAnsi"/>
          <w:color w:val="000000"/>
          <w:sz w:val="24"/>
          <w:szCs w:val="24"/>
        </w:rPr>
        <w:t xml:space="preserve"> oral</w:t>
      </w:r>
      <w:r>
        <w:rPr>
          <w:rFonts w:cstheme="minorHAnsi"/>
          <w:color w:val="000000"/>
          <w:sz w:val="24"/>
          <w:szCs w:val="24"/>
        </w:rPr>
        <w:t>ë</w:t>
      </w:r>
      <w:r w:rsidRPr="00D305B9">
        <w:rPr>
          <w:rFonts w:cstheme="minorHAnsi"/>
          <w:color w:val="000000"/>
          <w:sz w:val="24"/>
          <w:szCs w:val="24"/>
        </w:rPr>
        <w:t xml:space="preserve">.  </w:t>
      </w:r>
    </w:p>
    <w:p w14:paraId="0A400A8C" w14:textId="77777777" w:rsidR="009E1860" w:rsidRDefault="009E1860" w:rsidP="009E1860">
      <w:pPr>
        <w:rPr>
          <w:rFonts w:cstheme="minorHAnsi"/>
          <w:color w:val="000000"/>
          <w:sz w:val="24"/>
          <w:szCs w:val="24"/>
        </w:rPr>
      </w:pPr>
    </w:p>
    <w:p w14:paraId="55E15FB2" w14:textId="77777777" w:rsidR="009E1860" w:rsidRDefault="009E1860" w:rsidP="009E1860">
      <w:pPr>
        <w:rPr>
          <w:rFonts w:cstheme="minorHAnsi"/>
          <w:color w:val="000000"/>
          <w:sz w:val="24"/>
          <w:szCs w:val="24"/>
        </w:rPr>
      </w:pPr>
    </w:p>
    <w:p w14:paraId="42210A67" w14:textId="77777777" w:rsidR="009E1860" w:rsidRDefault="009E1860" w:rsidP="009E1860">
      <w:pPr>
        <w:rPr>
          <w:rFonts w:cstheme="minorHAnsi"/>
          <w:color w:val="000000"/>
          <w:sz w:val="24"/>
          <w:szCs w:val="24"/>
        </w:rPr>
      </w:pPr>
    </w:p>
    <w:p w14:paraId="0898E9FD" w14:textId="77777777" w:rsidR="009E1860" w:rsidRDefault="009E1860" w:rsidP="009E1860">
      <w:pPr>
        <w:rPr>
          <w:rFonts w:cstheme="minorHAnsi"/>
          <w:color w:val="000000"/>
          <w:sz w:val="24"/>
          <w:szCs w:val="24"/>
        </w:rPr>
      </w:pPr>
    </w:p>
    <w:p w14:paraId="6D5536D8" w14:textId="77777777" w:rsidR="009E1860" w:rsidRDefault="009E1860" w:rsidP="009E1860">
      <w:pPr>
        <w:rPr>
          <w:rFonts w:cstheme="minorHAnsi"/>
          <w:color w:val="000000"/>
          <w:sz w:val="24"/>
          <w:szCs w:val="24"/>
        </w:rPr>
      </w:pPr>
    </w:p>
    <w:p w14:paraId="7925F58D" w14:textId="77777777" w:rsidR="009E1860" w:rsidRDefault="009E1860" w:rsidP="009E1860">
      <w:pPr>
        <w:rPr>
          <w:rFonts w:cstheme="minorHAnsi"/>
          <w:color w:val="000000"/>
          <w:sz w:val="24"/>
          <w:szCs w:val="24"/>
        </w:rPr>
      </w:pPr>
    </w:p>
    <w:p w14:paraId="404A1071" w14:textId="77777777" w:rsidR="009E1860" w:rsidRDefault="009E1860" w:rsidP="009E1860">
      <w:pPr>
        <w:rPr>
          <w:rFonts w:cstheme="minorHAnsi"/>
          <w:color w:val="000000"/>
          <w:sz w:val="24"/>
          <w:szCs w:val="24"/>
        </w:rPr>
      </w:pPr>
    </w:p>
    <w:p w14:paraId="7465A061" w14:textId="77777777" w:rsidR="009E1860" w:rsidRPr="004434E7" w:rsidRDefault="009E1860" w:rsidP="009E1860">
      <w:pPr>
        <w:rPr>
          <w:rFonts w:cstheme="minorHAnsi"/>
          <w:b/>
          <w:bCs/>
          <w:color w:val="000000"/>
          <w:sz w:val="24"/>
          <w:szCs w:val="24"/>
        </w:rPr>
      </w:pPr>
      <w:r w:rsidRPr="004434E7">
        <w:rPr>
          <w:rFonts w:cstheme="minorHAnsi"/>
          <w:b/>
          <w:bCs/>
          <w:color w:val="000000"/>
          <w:sz w:val="24"/>
          <w:szCs w:val="24"/>
        </w:rPr>
        <w:t xml:space="preserve">                        Ri(fillimi i antikoagulimit pas nj</w:t>
      </w:r>
      <w:r>
        <w:rPr>
          <w:rFonts w:cstheme="minorHAnsi"/>
          <w:b/>
          <w:bCs/>
          <w:color w:val="000000"/>
          <w:sz w:val="24"/>
          <w:szCs w:val="24"/>
        </w:rPr>
        <w:t>ë</w:t>
      </w:r>
      <w:r w:rsidRPr="004434E7">
        <w:rPr>
          <w:rFonts w:cstheme="minorHAnsi"/>
          <w:b/>
          <w:bCs/>
          <w:color w:val="000000"/>
          <w:sz w:val="24"/>
          <w:szCs w:val="24"/>
        </w:rPr>
        <w:t xml:space="preserve"> hemorragjie gastro-intestinale</w:t>
      </w:r>
    </w:p>
    <w:p w14:paraId="79C6A790" w14:textId="77777777" w:rsidR="009E1860" w:rsidRDefault="009E1860" w:rsidP="009E1860">
      <w:pPr>
        <w:rPr>
          <w:rFonts w:cstheme="minorHAnsi"/>
          <w:color w:val="000000"/>
          <w:sz w:val="24"/>
          <w:szCs w:val="24"/>
        </w:rPr>
      </w:pPr>
    </w:p>
    <w:p w14:paraId="5517491B" w14:textId="77777777" w:rsidR="009E1860" w:rsidRDefault="009E1860" w:rsidP="009E1860">
      <w:pPr>
        <w:rPr>
          <w:rFonts w:cstheme="minorHAnsi"/>
          <w:color w:val="000000"/>
          <w:sz w:val="24"/>
          <w:szCs w:val="24"/>
        </w:rPr>
      </w:pPr>
      <w:r>
        <w:rPr>
          <w:noProof/>
        </w:rPr>
        <w:drawing>
          <wp:inline distT="0" distB="0" distL="0" distR="0" wp14:anchorId="4EF77372" wp14:editId="0614BD26">
            <wp:extent cx="5943600" cy="4470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70400"/>
                    </a:xfrm>
                    <a:prstGeom prst="rect">
                      <a:avLst/>
                    </a:prstGeom>
                  </pic:spPr>
                </pic:pic>
              </a:graphicData>
            </a:graphic>
          </wp:inline>
        </w:drawing>
      </w:r>
    </w:p>
    <w:p w14:paraId="795C6C25" w14:textId="77777777" w:rsidR="009E1860" w:rsidRPr="00D305B9" w:rsidRDefault="009E1860" w:rsidP="009E1860">
      <w:pPr>
        <w:rPr>
          <w:rFonts w:cstheme="minorHAnsi"/>
          <w:color w:val="000000"/>
          <w:sz w:val="24"/>
          <w:szCs w:val="24"/>
        </w:rPr>
      </w:pPr>
    </w:p>
    <w:p w14:paraId="69ADB163" w14:textId="77777777" w:rsidR="009E1860" w:rsidRDefault="009E1860" w:rsidP="009E1860">
      <w:pPr>
        <w:rPr>
          <w:rFonts w:cstheme="minorHAnsi"/>
          <w:b/>
          <w:bCs/>
          <w:color w:val="000000"/>
          <w:sz w:val="24"/>
          <w:szCs w:val="24"/>
        </w:rPr>
      </w:pPr>
    </w:p>
    <w:p w14:paraId="477B1D2C" w14:textId="77777777" w:rsidR="009E1860" w:rsidRPr="00DA3EBE" w:rsidRDefault="009E1860" w:rsidP="009E1860">
      <w:pPr>
        <w:rPr>
          <w:rFonts w:cstheme="minorHAnsi"/>
          <w:b/>
          <w:bCs/>
          <w:color w:val="000000"/>
          <w:sz w:val="24"/>
          <w:szCs w:val="24"/>
        </w:rPr>
      </w:pPr>
      <w:r>
        <w:rPr>
          <w:rFonts w:cstheme="minorHAnsi"/>
          <w:b/>
          <w:bCs/>
          <w:color w:val="000000"/>
          <w:sz w:val="24"/>
          <w:szCs w:val="24"/>
        </w:rPr>
        <w:t xml:space="preserve">4.2.4 </w:t>
      </w:r>
      <w:r w:rsidRPr="00DA3EBE">
        <w:rPr>
          <w:rFonts w:cstheme="minorHAnsi"/>
          <w:b/>
          <w:bCs/>
          <w:color w:val="000000"/>
          <w:sz w:val="24"/>
          <w:szCs w:val="24"/>
        </w:rPr>
        <w:t>Masat që duhen marrë në konsideratë në rast të një mbidoze (të dyshuar) pa hemorragji ose një test</w:t>
      </w:r>
      <w:r>
        <w:rPr>
          <w:rFonts w:cstheme="minorHAnsi"/>
          <w:b/>
          <w:bCs/>
          <w:color w:val="000000"/>
          <w:sz w:val="24"/>
          <w:szCs w:val="24"/>
        </w:rPr>
        <w:t xml:space="preserve">i </w:t>
      </w:r>
      <w:r w:rsidRPr="00DA3EBE">
        <w:rPr>
          <w:rFonts w:cstheme="minorHAnsi"/>
          <w:b/>
          <w:bCs/>
          <w:color w:val="000000"/>
          <w:sz w:val="24"/>
          <w:szCs w:val="24"/>
        </w:rPr>
        <w:t xml:space="preserve">koagulimi që tregon një rrezik të mundshëm hemorragjie. </w:t>
      </w:r>
    </w:p>
    <w:p w14:paraId="591B04A3" w14:textId="77777777" w:rsidR="009E1860" w:rsidRDefault="009E1860" w:rsidP="009E1860">
      <w:pPr>
        <w:rPr>
          <w:rFonts w:cstheme="minorHAnsi"/>
          <w:color w:val="000000"/>
          <w:sz w:val="24"/>
          <w:szCs w:val="24"/>
        </w:rPr>
      </w:pPr>
      <w:r w:rsidRPr="00D305B9">
        <w:rPr>
          <w:rFonts w:cstheme="minorHAnsi"/>
          <w:color w:val="000000"/>
          <w:sz w:val="24"/>
          <w:szCs w:val="24"/>
        </w:rPr>
        <w:t>P</w:t>
      </w:r>
      <w:r>
        <w:rPr>
          <w:rFonts w:cstheme="minorHAnsi"/>
          <w:color w:val="000000"/>
          <w:sz w:val="24"/>
          <w:szCs w:val="24"/>
        </w:rPr>
        <w:t>ë</w:t>
      </w:r>
      <w:r w:rsidRPr="00D305B9">
        <w:rPr>
          <w:rFonts w:cstheme="minorHAnsi"/>
          <w:color w:val="000000"/>
          <w:sz w:val="24"/>
          <w:szCs w:val="24"/>
        </w:rPr>
        <w:t>rq</w:t>
      </w:r>
      <w:r>
        <w:rPr>
          <w:rFonts w:cstheme="minorHAnsi"/>
          <w:color w:val="000000"/>
          <w:sz w:val="24"/>
          <w:szCs w:val="24"/>
        </w:rPr>
        <w:t>ë</w:t>
      </w:r>
      <w:r w:rsidRPr="00D305B9">
        <w:rPr>
          <w:rFonts w:cstheme="minorHAnsi"/>
          <w:color w:val="000000"/>
          <w:sz w:val="24"/>
          <w:szCs w:val="24"/>
        </w:rPr>
        <w:t>ndrimet e teperta t</w:t>
      </w:r>
      <w:r>
        <w:rPr>
          <w:rFonts w:cstheme="minorHAnsi"/>
          <w:color w:val="000000"/>
          <w:sz w:val="24"/>
          <w:szCs w:val="24"/>
        </w:rPr>
        <w:t>ë</w:t>
      </w:r>
      <w:r w:rsidRPr="00D305B9">
        <w:rPr>
          <w:rFonts w:cstheme="minorHAnsi"/>
          <w:color w:val="000000"/>
          <w:sz w:val="24"/>
          <w:szCs w:val="24"/>
        </w:rPr>
        <w:t xml:space="preserve"> NOAC n</w:t>
      </w:r>
      <w:r>
        <w:rPr>
          <w:rFonts w:cstheme="minorHAnsi"/>
          <w:color w:val="000000"/>
          <w:sz w:val="24"/>
          <w:szCs w:val="24"/>
        </w:rPr>
        <w:t>ë</w:t>
      </w:r>
      <w:r w:rsidRPr="00D305B9">
        <w:rPr>
          <w:rFonts w:cstheme="minorHAnsi"/>
          <w:color w:val="000000"/>
          <w:sz w:val="24"/>
          <w:szCs w:val="24"/>
        </w:rPr>
        <w:t xml:space="preserve"> plaz</w:t>
      </w:r>
      <w:r>
        <w:rPr>
          <w:rFonts w:cstheme="minorHAnsi"/>
          <w:color w:val="000000"/>
          <w:sz w:val="24"/>
          <w:szCs w:val="24"/>
        </w:rPr>
        <w:t>ë</w:t>
      </w:r>
      <w:r w:rsidRPr="00D305B9">
        <w:rPr>
          <w:rFonts w:cstheme="minorHAnsi"/>
          <w:color w:val="000000"/>
          <w:sz w:val="24"/>
          <w:szCs w:val="24"/>
        </w:rPr>
        <w:t>m e ekspozojn</w:t>
      </w:r>
      <w:r>
        <w:rPr>
          <w:rFonts w:cstheme="minorHAnsi"/>
          <w:color w:val="000000"/>
          <w:sz w:val="24"/>
          <w:szCs w:val="24"/>
        </w:rPr>
        <w:t>ë</w:t>
      </w:r>
      <w:r w:rsidRPr="00D305B9">
        <w:rPr>
          <w:rFonts w:cstheme="minorHAnsi"/>
          <w:color w:val="000000"/>
          <w:sz w:val="24"/>
          <w:szCs w:val="24"/>
        </w:rPr>
        <w:t xml:space="preserve"> pacientin ndaj nj</w:t>
      </w:r>
      <w:r>
        <w:rPr>
          <w:rFonts w:cstheme="minorHAnsi"/>
          <w:color w:val="000000"/>
          <w:sz w:val="24"/>
          <w:szCs w:val="24"/>
        </w:rPr>
        <w:t>ë</w:t>
      </w:r>
      <w:r w:rsidRPr="00D305B9">
        <w:rPr>
          <w:rFonts w:cstheme="minorHAnsi"/>
          <w:color w:val="000000"/>
          <w:sz w:val="24"/>
          <w:szCs w:val="24"/>
        </w:rPr>
        <w:t xml:space="preserve"> rreziku t</w:t>
      </w:r>
      <w:r>
        <w:rPr>
          <w:rFonts w:cstheme="minorHAnsi"/>
          <w:color w:val="000000"/>
          <w:sz w:val="24"/>
          <w:szCs w:val="24"/>
        </w:rPr>
        <w:t>ë</w:t>
      </w:r>
      <w:r w:rsidRPr="00D305B9">
        <w:rPr>
          <w:rFonts w:cstheme="minorHAnsi"/>
          <w:color w:val="000000"/>
          <w:sz w:val="24"/>
          <w:szCs w:val="24"/>
        </w:rPr>
        <w:t xml:space="preserve"> shtuar p</w:t>
      </w:r>
      <w:r>
        <w:rPr>
          <w:rFonts w:cstheme="minorHAnsi"/>
          <w:color w:val="000000"/>
          <w:sz w:val="24"/>
          <w:szCs w:val="24"/>
        </w:rPr>
        <w:t>ë</w:t>
      </w:r>
      <w:r w:rsidRPr="00D305B9">
        <w:rPr>
          <w:rFonts w:cstheme="minorHAnsi"/>
          <w:color w:val="000000"/>
          <w:sz w:val="24"/>
          <w:szCs w:val="24"/>
        </w:rPr>
        <w:t>r hemorragji. Kjo mund të ndodhë kur pacienti ka marrë (qëllimisht) një mbidozë, por edhe n</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situata</w:t>
      </w:r>
      <w:r w:rsidRPr="00D305B9">
        <w:rPr>
          <w:rFonts w:cstheme="minorHAnsi"/>
          <w:color w:val="000000"/>
          <w:sz w:val="24"/>
          <w:szCs w:val="24"/>
        </w:rPr>
        <w:t xml:space="preserve"> të tilla si një rënie akute e funksionit renal (veçanërisht me dabigatran) ose gjat</w:t>
      </w:r>
      <w:r>
        <w:rPr>
          <w:rFonts w:cstheme="minorHAnsi"/>
          <w:color w:val="000000"/>
          <w:sz w:val="24"/>
          <w:szCs w:val="24"/>
        </w:rPr>
        <w:t>ë</w:t>
      </w:r>
      <w:r w:rsidRPr="00D305B9">
        <w:rPr>
          <w:rFonts w:cstheme="minorHAnsi"/>
          <w:color w:val="000000"/>
          <w:sz w:val="24"/>
          <w:szCs w:val="24"/>
        </w:rPr>
        <w:t xml:space="preserve"> administrimit t</w:t>
      </w:r>
      <w:r>
        <w:rPr>
          <w:rFonts w:cstheme="minorHAnsi"/>
          <w:color w:val="000000"/>
          <w:sz w:val="24"/>
          <w:szCs w:val="24"/>
        </w:rPr>
        <w:t>ë</w:t>
      </w:r>
      <w:r w:rsidRPr="00D305B9">
        <w:rPr>
          <w:rFonts w:cstheme="minorHAnsi"/>
          <w:color w:val="000000"/>
          <w:sz w:val="24"/>
          <w:szCs w:val="24"/>
        </w:rPr>
        <w:t xml:space="preserve"> barnave me nd</w:t>
      </w:r>
      <w:r>
        <w:rPr>
          <w:rFonts w:cstheme="minorHAnsi"/>
          <w:color w:val="000000"/>
          <w:sz w:val="24"/>
          <w:szCs w:val="24"/>
        </w:rPr>
        <w:t>ë</w:t>
      </w:r>
      <w:r w:rsidRPr="00D305B9">
        <w:rPr>
          <w:rFonts w:cstheme="minorHAnsi"/>
          <w:color w:val="000000"/>
          <w:sz w:val="24"/>
          <w:szCs w:val="24"/>
        </w:rPr>
        <w:t>rveprim t</w:t>
      </w:r>
      <w:r>
        <w:rPr>
          <w:rFonts w:cstheme="minorHAnsi"/>
          <w:color w:val="000000"/>
          <w:sz w:val="24"/>
          <w:szCs w:val="24"/>
        </w:rPr>
        <w:t>ë</w:t>
      </w:r>
      <w:r w:rsidRPr="00D305B9">
        <w:rPr>
          <w:rFonts w:cstheme="minorHAnsi"/>
          <w:color w:val="000000"/>
          <w:sz w:val="24"/>
          <w:szCs w:val="24"/>
        </w:rPr>
        <w:t xml:space="preserve"> njohur bar-bar t</w:t>
      </w:r>
      <w:r>
        <w:rPr>
          <w:rFonts w:cstheme="minorHAnsi"/>
          <w:color w:val="000000"/>
          <w:sz w:val="24"/>
          <w:szCs w:val="24"/>
        </w:rPr>
        <w:t>ë</w:t>
      </w:r>
      <w:r w:rsidRPr="00D305B9">
        <w:rPr>
          <w:rFonts w:cstheme="minorHAnsi"/>
          <w:color w:val="000000"/>
          <w:sz w:val="24"/>
          <w:szCs w:val="24"/>
        </w:rPr>
        <w:t xml:space="preserve"> cil</w:t>
      </w:r>
      <w:r>
        <w:rPr>
          <w:rFonts w:cstheme="minorHAnsi"/>
          <w:color w:val="000000"/>
          <w:sz w:val="24"/>
          <w:szCs w:val="24"/>
        </w:rPr>
        <w:t>ë</w:t>
      </w:r>
      <w:r w:rsidRPr="00D305B9">
        <w:rPr>
          <w:rFonts w:cstheme="minorHAnsi"/>
          <w:color w:val="000000"/>
          <w:sz w:val="24"/>
          <w:szCs w:val="24"/>
        </w:rPr>
        <w:t xml:space="preserve">t mund të rrisin përqendrimet plazmatike të NOAC në nivele supraterapeutike. Për sa i përket menaxhimit, është e rëndësishme të bëhet dallimi midis një mbidoze </w:t>
      </w:r>
      <w:r>
        <w:rPr>
          <w:rFonts w:cstheme="minorHAnsi"/>
          <w:color w:val="000000"/>
          <w:sz w:val="24"/>
          <w:szCs w:val="24"/>
        </w:rPr>
        <w:t xml:space="preserve">që rezulton në </w:t>
      </w:r>
      <w:r w:rsidRPr="00D305B9">
        <w:rPr>
          <w:rFonts w:cstheme="minorHAnsi"/>
          <w:color w:val="000000"/>
          <w:sz w:val="24"/>
          <w:szCs w:val="24"/>
        </w:rPr>
        <w:t xml:space="preserve">hemorragji </w:t>
      </w:r>
      <w:r>
        <w:rPr>
          <w:rFonts w:cstheme="minorHAnsi"/>
          <w:color w:val="000000"/>
          <w:sz w:val="24"/>
          <w:szCs w:val="24"/>
        </w:rPr>
        <w:t>dhe një mbidoze që nuk rezulton në hemorragji.</w:t>
      </w:r>
      <w:r w:rsidRPr="00D305B9">
        <w:rPr>
          <w:rFonts w:cstheme="minorHAnsi"/>
          <w:color w:val="000000"/>
          <w:sz w:val="24"/>
          <w:szCs w:val="24"/>
        </w:rPr>
        <w:t xml:space="preserve"> Në rast të një mbidoze të dyshuar</w:t>
      </w:r>
      <w:r>
        <w:rPr>
          <w:rFonts w:cstheme="minorHAnsi"/>
          <w:color w:val="000000"/>
          <w:sz w:val="24"/>
          <w:szCs w:val="24"/>
        </w:rPr>
        <w:t xml:space="preserve">, (në mungesë të hemorragjisë), </w:t>
      </w:r>
      <w:r w:rsidRPr="00D305B9">
        <w:rPr>
          <w:rFonts w:cstheme="minorHAnsi"/>
          <w:color w:val="000000"/>
          <w:sz w:val="24"/>
          <w:szCs w:val="24"/>
        </w:rPr>
        <w:t>vlerësimi i niveleve të NOAC në plazmë mund të ndihmojë në përcaktimin e rrezikut të mundshëm të hemorragjis</w:t>
      </w:r>
      <w:r>
        <w:rPr>
          <w:rFonts w:cstheme="minorHAnsi"/>
          <w:color w:val="000000"/>
          <w:sz w:val="24"/>
          <w:szCs w:val="24"/>
        </w:rPr>
        <w:t>ë</w:t>
      </w:r>
      <w:r w:rsidRPr="00D305B9">
        <w:rPr>
          <w:rFonts w:cstheme="minorHAnsi"/>
          <w:color w:val="000000"/>
          <w:sz w:val="24"/>
          <w:szCs w:val="24"/>
        </w:rPr>
        <w:t xml:space="preserve"> (</w:t>
      </w:r>
      <w:r>
        <w:rPr>
          <w:rFonts w:cstheme="minorHAnsi"/>
          <w:color w:val="000000"/>
          <w:sz w:val="24"/>
          <w:szCs w:val="24"/>
        </w:rPr>
        <w:t>shiko tabelën: ‘</w:t>
      </w:r>
      <w:r w:rsidRPr="00921582">
        <w:rPr>
          <w:rFonts w:cstheme="minorHAnsi"/>
          <w:color w:val="000000"/>
          <w:sz w:val="24"/>
          <w:szCs w:val="24"/>
        </w:rPr>
        <w:t>Nivelet plazmatike dhe vleresimi i koagulimit n</w:t>
      </w:r>
      <w:r>
        <w:rPr>
          <w:rFonts w:cstheme="minorHAnsi"/>
          <w:color w:val="000000"/>
          <w:sz w:val="24"/>
          <w:szCs w:val="24"/>
        </w:rPr>
        <w:t>ë</w:t>
      </w:r>
      <w:r w:rsidRPr="00921582">
        <w:rPr>
          <w:rFonts w:cstheme="minorHAnsi"/>
          <w:color w:val="000000"/>
          <w:sz w:val="24"/>
          <w:szCs w:val="24"/>
        </w:rPr>
        <w:t xml:space="preserve"> pacient</w:t>
      </w:r>
      <w:r>
        <w:rPr>
          <w:rFonts w:cstheme="minorHAnsi"/>
          <w:color w:val="000000"/>
          <w:sz w:val="24"/>
          <w:szCs w:val="24"/>
        </w:rPr>
        <w:t>ë</w:t>
      </w:r>
      <w:r w:rsidRPr="00921582">
        <w:rPr>
          <w:rFonts w:cstheme="minorHAnsi"/>
          <w:color w:val="000000"/>
          <w:sz w:val="24"/>
          <w:szCs w:val="24"/>
        </w:rPr>
        <w:t>t e trajtuar me NOAC p</w:t>
      </w:r>
      <w:r>
        <w:rPr>
          <w:rFonts w:cstheme="minorHAnsi"/>
          <w:color w:val="000000"/>
          <w:sz w:val="24"/>
          <w:szCs w:val="24"/>
        </w:rPr>
        <w:t>ë</w:t>
      </w:r>
      <w:r w:rsidRPr="00921582">
        <w:rPr>
          <w:rFonts w:cstheme="minorHAnsi"/>
          <w:color w:val="000000"/>
          <w:sz w:val="24"/>
          <w:szCs w:val="24"/>
        </w:rPr>
        <w:t>r parandalimin e goditjes cerebrale n</w:t>
      </w:r>
      <w:r>
        <w:rPr>
          <w:rFonts w:cstheme="minorHAnsi"/>
          <w:color w:val="000000"/>
          <w:sz w:val="24"/>
          <w:szCs w:val="24"/>
        </w:rPr>
        <w:t>ë</w:t>
      </w:r>
      <w:r w:rsidRPr="00921582">
        <w:rPr>
          <w:rFonts w:cstheme="minorHAnsi"/>
          <w:color w:val="000000"/>
          <w:sz w:val="24"/>
          <w:szCs w:val="24"/>
        </w:rPr>
        <w:t xml:space="preserve"> FA</w:t>
      </w:r>
      <w:r>
        <w:rPr>
          <w:rFonts w:cstheme="minorHAnsi"/>
          <w:color w:val="000000"/>
          <w:sz w:val="24"/>
          <w:szCs w:val="24"/>
        </w:rPr>
        <w:t xml:space="preserve">’ </w:t>
      </w:r>
      <w:r w:rsidRPr="00D305B9">
        <w:rPr>
          <w:rFonts w:cstheme="minorHAnsi"/>
          <w:color w:val="000000"/>
          <w:sz w:val="24"/>
          <w:szCs w:val="24"/>
        </w:rPr>
        <w:t>). Duke pasur parasysh</w:t>
      </w:r>
      <w:r>
        <w:rPr>
          <w:rFonts w:cstheme="minorHAnsi"/>
          <w:color w:val="000000"/>
          <w:sz w:val="24"/>
          <w:szCs w:val="24"/>
        </w:rPr>
        <w:t xml:space="preserve"> </w:t>
      </w:r>
      <w:r w:rsidRPr="00D305B9">
        <w:rPr>
          <w:rFonts w:cstheme="minorHAnsi"/>
          <w:color w:val="000000"/>
          <w:sz w:val="24"/>
          <w:szCs w:val="24"/>
        </w:rPr>
        <w:t>gjysmëjetë</w:t>
      </w:r>
      <w:r>
        <w:rPr>
          <w:rFonts w:cstheme="minorHAnsi"/>
          <w:color w:val="000000"/>
          <w:sz w:val="24"/>
          <w:szCs w:val="24"/>
        </w:rPr>
        <w:t>n</w:t>
      </w:r>
      <w:r w:rsidRPr="00D305B9">
        <w:rPr>
          <w:rFonts w:cstheme="minorHAnsi"/>
          <w:color w:val="000000"/>
          <w:sz w:val="24"/>
          <w:szCs w:val="24"/>
        </w:rPr>
        <w:t xml:space="preserve"> plazmatike relativisht të shkurtër </w:t>
      </w:r>
      <w:r>
        <w:rPr>
          <w:rFonts w:cstheme="minorHAnsi"/>
          <w:color w:val="000000"/>
          <w:sz w:val="24"/>
          <w:szCs w:val="24"/>
        </w:rPr>
        <w:t>t</w:t>
      </w:r>
      <w:r w:rsidRPr="00D305B9">
        <w:rPr>
          <w:rFonts w:cstheme="minorHAnsi"/>
          <w:color w:val="000000"/>
          <w:sz w:val="24"/>
          <w:szCs w:val="24"/>
        </w:rPr>
        <w:t>ë NOAC-</w:t>
      </w:r>
      <w:r>
        <w:rPr>
          <w:rFonts w:cstheme="minorHAnsi"/>
          <w:color w:val="000000"/>
          <w:sz w:val="24"/>
          <w:szCs w:val="24"/>
        </w:rPr>
        <w:t>ë</w:t>
      </w:r>
      <w:r w:rsidRPr="00D305B9">
        <w:rPr>
          <w:rFonts w:cstheme="minorHAnsi"/>
          <w:color w:val="000000"/>
          <w:sz w:val="24"/>
          <w:szCs w:val="24"/>
        </w:rPr>
        <w:t>ve, në shumicën e rasteve pa hemorragji aktive</w:t>
      </w:r>
      <w:r>
        <w:rPr>
          <w:rFonts w:cstheme="minorHAnsi"/>
          <w:color w:val="000000"/>
          <w:sz w:val="24"/>
          <w:szCs w:val="24"/>
        </w:rPr>
        <w:t>,</w:t>
      </w:r>
      <w:r w:rsidRPr="00D305B9">
        <w:rPr>
          <w:rFonts w:cstheme="minorHAnsi"/>
          <w:color w:val="000000"/>
          <w:sz w:val="24"/>
          <w:szCs w:val="24"/>
        </w:rPr>
        <w:t xml:space="preserve"> mund të përdoret një strategji 'prit-dhe-shih'. Gjysm</w:t>
      </w:r>
      <w:r>
        <w:rPr>
          <w:rFonts w:cstheme="minorHAnsi"/>
          <w:color w:val="000000"/>
          <w:sz w:val="24"/>
          <w:szCs w:val="24"/>
        </w:rPr>
        <w:t>ë-</w:t>
      </w:r>
      <w:r w:rsidRPr="00D305B9">
        <w:rPr>
          <w:rFonts w:cstheme="minorHAnsi"/>
          <w:color w:val="000000"/>
          <w:sz w:val="24"/>
          <w:szCs w:val="24"/>
        </w:rPr>
        <w:t xml:space="preserve">jeta e eliminimit mund të vlerësohet duke marrë parasysh moshën dhe funksionin e veshkave. </w:t>
      </w:r>
      <w:r>
        <w:rPr>
          <w:rFonts w:cstheme="minorHAnsi"/>
          <w:color w:val="000000"/>
          <w:sz w:val="24"/>
          <w:szCs w:val="24"/>
        </w:rPr>
        <w:t xml:space="preserve">Rivaroxabani në doza mbi 50 mg, shkakton një ngopje të receptorëve të intestinit (efekt tavan) dhe nuk përthithet më tutje. </w:t>
      </w:r>
      <w:r w:rsidRPr="00D305B9">
        <w:rPr>
          <w:rFonts w:cstheme="minorHAnsi"/>
          <w:color w:val="000000"/>
          <w:sz w:val="24"/>
          <w:szCs w:val="24"/>
        </w:rPr>
        <w:t xml:space="preserve">Nuk ka të dhëna në lidhje me këtë efekt tavan për frenuesit e tjerë të </w:t>
      </w:r>
      <w:r>
        <w:rPr>
          <w:rFonts w:cstheme="minorHAnsi"/>
          <w:color w:val="000000"/>
          <w:sz w:val="24"/>
          <w:szCs w:val="24"/>
        </w:rPr>
        <w:t xml:space="preserve">faktorit </w:t>
      </w:r>
      <w:r w:rsidRPr="00D305B9">
        <w:rPr>
          <w:rFonts w:cstheme="minorHAnsi"/>
          <w:color w:val="000000"/>
          <w:sz w:val="24"/>
          <w:szCs w:val="24"/>
        </w:rPr>
        <w:t xml:space="preserve">Xa ose dabigatranin. </w:t>
      </w:r>
    </w:p>
    <w:p w14:paraId="7C8DD161" w14:textId="77777777" w:rsidR="009E1860" w:rsidRDefault="009E1860" w:rsidP="009E1860">
      <w:pPr>
        <w:rPr>
          <w:rFonts w:cstheme="minorHAnsi"/>
          <w:color w:val="000000"/>
          <w:sz w:val="24"/>
          <w:szCs w:val="24"/>
        </w:rPr>
      </w:pPr>
    </w:p>
    <w:p w14:paraId="67A67337" w14:textId="77777777" w:rsidR="009E1860" w:rsidRPr="00D305B9" w:rsidRDefault="009E1860" w:rsidP="009E1860">
      <w:pPr>
        <w:rPr>
          <w:rFonts w:cstheme="minorHAnsi"/>
          <w:color w:val="000000"/>
          <w:sz w:val="24"/>
          <w:szCs w:val="24"/>
        </w:rPr>
      </w:pPr>
      <w:r>
        <w:rPr>
          <w:noProof/>
        </w:rPr>
        <w:drawing>
          <wp:inline distT="0" distB="0" distL="0" distR="0" wp14:anchorId="64A92163" wp14:editId="4772B0DA">
            <wp:extent cx="5943600" cy="3314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14700"/>
                    </a:xfrm>
                    <a:prstGeom prst="rect">
                      <a:avLst/>
                    </a:prstGeom>
                  </pic:spPr>
                </pic:pic>
              </a:graphicData>
            </a:graphic>
          </wp:inline>
        </w:drawing>
      </w:r>
    </w:p>
    <w:p w14:paraId="779F0448" w14:textId="77777777" w:rsidR="009E1860" w:rsidRDefault="009E1860" w:rsidP="009E1860">
      <w:pPr>
        <w:rPr>
          <w:rFonts w:cstheme="minorHAnsi"/>
          <w:color w:val="000000"/>
          <w:sz w:val="24"/>
          <w:szCs w:val="24"/>
        </w:rPr>
      </w:pPr>
    </w:p>
    <w:p w14:paraId="2A742F4D" w14:textId="77777777" w:rsidR="009E1860" w:rsidRPr="00D305B9" w:rsidRDefault="009E1860" w:rsidP="009E1860">
      <w:pPr>
        <w:rPr>
          <w:rFonts w:cstheme="minorHAnsi"/>
          <w:color w:val="000000"/>
          <w:sz w:val="24"/>
          <w:szCs w:val="24"/>
        </w:rPr>
      </w:pPr>
      <w:r w:rsidRPr="00D305B9">
        <w:rPr>
          <w:rFonts w:cstheme="minorHAnsi"/>
          <w:color w:val="000000"/>
          <w:sz w:val="24"/>
          <w:szCs w:val="24"/>
        </w:rPr>
        <w:t>Në rastin e nj</w:t>
      </w:r>
      <w:r>
        <w:rPr>
          <w:rFonts w:cstheme="minorHAnsi"/>
          <w:color w:val="000000"/>
          <w:sz w:val="24"/>
          <w:szCs w:val="24"/>
        </w:rPr>
        <w:t>ë</w:t>
      </w:r>
      <w:r w:rsidRPr="00D305B9">
        <w:rPr>
          <w:rFonts w:cstheme="minorHAnsi"/>
          <w:color w:val="000000"/>
          <w:sz w:val="24"/>
          <w:szCs w:val="24"/>
        </w:rPr>
        <w:t xml:space="preserve"> mbidozimi akut (veçanërisht ≤2 orë më parë), mund të konsiderohet për çdo NOAC përdorimi i karbonit të aktivizuar për të reduktuar përthithjen (me një skemë standarde dozimi për të rriturit 30-50 g) megjithëse të dhënat klinike mbi efektiviteti</w:t>
      </w:r>
      <w:r>
        <w:rPr>
          <w:rFonts w:cstheme="minorHAnsi"/>
          <w:color w:val="000000"/>
          <w:sz w:val="24"/>
          <w:szCs w:val="24"/>
        </w:rPr>
        <w:t>n e</w:t>
      </w:r>
      <w:r w:rsidRPr="00D305B9">
        <w:rPr>
          <w:rFonts w:cstheme="minorHAnsi"/>
          <w:color w:val="000000"/>
          <w:sz w:val="24"/>
          <w:szCs w:val="24"/>
        </w:rPr>
        <w:t xml:space="preserve"> tij mungojn</w:t>
      </w:r>
      <w:r>
        <w:rPr>
          <w:rFonts w:cstheme="minorHAnsi"/>
          <w:color w:val="000000"/>
          <w:sz w:val="24"/>
          <w:szCs w:val="24"/>
        </w:rPr>
        <w:t>ë</w:t>
      </w:r>
      <w:r w:rsidRPr="00D305B9">
        <w:rPr>
          <w:rFonts w:cstheme="minorHAnsi"/>
          <w:color w:val="000000"/>
          <w:sz w:val="24"/>
          <w:szCs w:val="24"/>
        </w:rPr>
        <w:t>. Nëse konsiderohet i nevojsh</w:t>
      </w:r>
      <w:r>
        <w:rPr>
          <w:rFonts w:cstheme="minorHAnsi"/>
          <w:color w:val="000000"/>
          <w:sz w:val="24"/>
          <w:szCs w:val="24"/>
        </w:rPr>
        <w:t>ë</w:t>
      </w:r>
      <w:r w:rsidRPr="00D305B9">
        <w:rPr>
          <w:rFonts w:cstheme="minorHAnsi"/>
          <w:color w:val="000000"/>
          <w:sz w:val="24"/>
          <w:szCs w:val="24"/>
        </w:rPr>
        <w:t xml:space="preserve">m një normalizim më agresiv i niveleve plazmatike, ose nuk pritet normalizim i shpejtë (p.sh. funksioni renal i dëmtuar rëndë) mund të </w:t>
      </w:r>
      <w:r>
        <w:rPr>
          <w:rFonts w:cstheme="minorHAnsi"/>
          <w:color w:val="000000"/>
          <w:sz w:val="24"/>
          <w:szCs w:val="24"/>
        </w:rPr>
        <w:t>nevojitet</w:t>
      </w:r>
      <w:r w:rsidRPr="00D305B9">
        <w:rPr>
          <w:rFonts w:cstheme="minorHAnsi"/>
          <w:color w:val="000000"/>
          <w:sz w:val="24"/>
          <w:szCs w:val="24"/>
        </w:rPr>
        <w:t xml:space="preserve"> të merren parasysh hapat e përshkruar në pacientët me hemorragji aktive (</w:t>
      </w:r>
      <w:r>
        <w:rPr>
          <w:rFonts w:cstheme="minorHAnsi"/>
          <w:color w:val="000000"/>
          <w:sz w:val="24"/>
          <w:szCs w:val="24"/>
        </w:rPr>
        <w:t>shiko skemën e më sipërme ‘</w:t>
      </w:r>
      <w:r w:rsidRPr="00672360">
        <w:rPr>
          <w:rFonts w:cstheme="minorHAnsi"/>
          <w:color w:val="000000"/>
          <w:sz w:val="24"/>
          <w:szCs w:val="24"/>
        </w:rPr>
        <w:t>Menaxhimi i hemorragjis</w:t>
      </w:r>
      <w:r>
        <w:rPr>
          <w:rFonts w:cstheme="minorHAnsi"/>
          <w:color w:val="000000"/>
          <w:sz w:val="24"/>
          <w:szCs w:val="24"/>
        </w:rPr>
        <w:t>ë</w:t>
      </w:r>
      <w:r w:rsidRPr="00672360">
        <w:rPr>
          <w:rFonts w:cstheme="minorHAnsi"/>
          <w:color w:val="000000"/>
          <w:sz w:val="24"/>
          <w:szCs w:val="24"/>
        </w:rPr>
        <w:t xml:space="preserve"> n</w:t>
      </w:r>
      <w:r>
        <w:rPr>
          <w:rFonts w:cstheme="minorHAnsi"/>
          <w:color w:val="000000"/>
          <w:sz w:val="24"/>
          <w:szCs w:val="24"/>
        </w:rPr>
        <w:t>ë</w:t>
      </w:r>
      <w:r w:rsidRPr="00672360">
        <w:rPr>
          <w:rFonts w:cstheme="minorHAnsi"/>
          <w:color w:val="000000"/>
          <w:sz w:val="24"/>
          <w:szCs w:val="24"/>
        </w:rPr>
        <w:t xml:space="preserve"> pacient</w:t>
      </w:r>
      <w:r>
        <w:rPr>
          <w:rFonts w:cstheme="minorHAnsi"/>
          <w:color w:val="000000"/>
          <w:sz w:val="24"/>
          <w:szCs w:val="24"/>
        </w:rPr>
        <w:t>ë</w:t>
      </w:r>
      <w:r w:rsidRPr="00672360">
        <w:rPr>
          <w:rFonts w:cstheme="minorHAnsi"/>
          <w:color w:val="000000"/>
          <w:sz w:val="24"/>
          <w:szCs w:val="24"/>
        </w:rPr>
        <w:t xml:space="preserve"> q</w:t>
      </w:r>
      <w:r>
        <w:rPr>
          <w:rFonts w:cstheme="minorHAnsi"/>
          <w:color w:val="000000"/>
          <w:sz w:val="24"/>
          <w:szCs w:val="24"/>
        </w:rPr>
        <w:t>ë</w:t>
      </w:r>
      <w:r w:rsidRPr="00672360">
        <w:rPr>
          <w:rFonts w:cstheme="minorHAnsi"/>
          <w:color w:val="000000"/>
          <w:sz w:val="24"/>
          <w:szCs w:val="24"/>
        </w:rPr>
        <w:t xml:space="preserve"> marrin NOAC</w:t>
      </w:r>
      <w:r>
        <w:rPr>
          <w:rFonts w:cstheme="minorHAnsi"/>
          <w:color w:val="000000"/>
          <w:sz w:val="24"/>
          <w:szCs w:val="24"/>
        </w:rPr>
        <w:t>‘</w:t>
      </w:r>
      <w:r w:rsidRPr="00D305B9">
        <w:rPr>
          <w:rFonts w:cstheme="minorHAnsi"/>
          <w:color w:val="000000"/>
          <w:sz w:val="24"/>
          <w:szCs w:val="24"/>
        </w:rPr>
        <w:t>). Vetëm në raste të jashtëzakonshme duhet të merret parasysh administrimi i faktorëve të koagulimit (PCC, aPCC) në pritje të eleminimit të barnave; Është e qartë se në këto situata balancimi i përfitimit të normalizimit të koagulimit në një pacient pa hemorragji duhet të peshohet me kujdes kundrejt një efekti protrombotik ndoshta të fortë.</w:t>
      </w:r>
    </w:p>
    <w:p w14:paraId="46475B3D" w14:textId="77777777" w:rsidR="009E1860" w:rsidRDefault="009E1860" w:rsidP="009E1860">
      <w:pPr>
        <w:rPr>
          <w:sz w:val="24"/>
          <w:szCs w:val="24"/>
        </w:rPr>
      </w:pPr>
    </w:p>
    <w:p w14:paraId="3A840AD4" w14:textId="77777777" w:rsidR="009E1860" w:rsidRPr="00E07DF1" w:rsidRDefault="009E1860" w:rsidP="009E1860">
      <w:pPr>
        <w:rPr>
          <w:b/>
          <w:bCs/>
          <w:sz w:val="24"/>
          <w:szCs w:val="24"/>
        </w:rPr>
      </w:pPr>
    </w:p>
    <w:p w14:paraId="76A02E6B" w14:textId="77777777" w:rsidR="009E1860" w:rsidRPr="00E07DF1" w:rsidRDefault="009E1860" w:rsidP="009E1860">
      <w:pPr>
        <w:rPr>
          <w:b/>
          <w:bCs/>
          <w:sz w:val="24"/>
          <w:szCs w:val="24"/>
        </w:rPr>
      </w:pPr>
      <w:r>
        <w:rPr>
          <w:b/>
          <w:bCs/>
          <w:sz w:val="24"/>
          <w:szCs w:val="24"/>
        </w:rPr>
        <w:t xml:space="preserve">4.3 </w:t>
      </w:r>
      <w:r w:rsidRPr="00E07DF1">
        <w:rPr>
          <w:b/>
          <w:bCs/>
          <w:sz w:val="24"/>
          <w:szCs w:val="24"/>
        </w:rPr>
        <w:t>Pacientët që</w:t>
      </w:r>
      <w:r>
        <w:rPr>
          <w:b/>
          <w:bCs/>
          <w:sz w:val="24"/>
          <w:szCs w:val="24"/>
        </w:rPr>
        <w:t xml:space="preserve"> duhet të kryejnë </w:t>
      </w:r>
      <w:r w:rsidRPr="00E07DF1">
        <w:rPr>
          <w:b/>
          <w:bCs/>
          <w:sz w:val="24"/>
          <w:szCs w:val="24"/>
        </w:rPr>
        <w:t>një nd</w:t>
      </w:r>
      <w:r>
        <w:rPr>
          <w:b/>
          <w:bCs/>
          <w:sz w:val="24"/>
          <w:szCs w:val="24"/>
        </w:rPr>
        <w:t>ë</w:t>
      </w:r>
      <w:r w:rsidRPr="00E07DF1">
        <w:rPr>
          <w:b/>
          <w:bCs/>
          <w:sz w:val="24"/>
          <w:szCs w:val="24"/>
        </w:rPr>
        <w:t>rhyrje kirugjikale urgjente</w:t>
      </w:r>
    </w:p>
    <w:p w14:paraId="7A21C30B" w14:textId="77777777" w:rsidR="009E1860" w:rsidRDefault="009E1860" w:rsidP="009E1860">
      <w:pPr>
        <w:rPr>
          <w:sz w:val="24"/>
          <w:szCs w:val="24"/>
        </w:rPr>
      </w:pPr>
      <w:r>
        <w:rPr>
          <w:sz w:val="24"/>
          <w:szCs w:val="24"/>
        </w:rPr>
        <w:t xml:space="preserve">Nëse kërkohet një ndërhyrje urgjente, çdo NOAC duhet të ndërpritet menjëherë. Konsideratat për menaxhimin specifik varen nga situata ose shkalla e urgjencës (procedurë akute urgjente, procedurë urgjente ose procedurë që mund të shtyhet) </w:t>
      </w:r>
      <w:r w:rsidRPr="008F2BCE">
        <w:rPr>
          <w:sz w:val="24"/>
          <w:szCs w:val="24"/>
        </w:rPr>
        <w:t>siç është përmbledhur në figurën e më</w:t>
      </w:r>
      <w:r>
        <w:rPr>
          <w:sz w:val="24"/>
          <w:szCs w:val="24"/>
        </w:rPr>
        <w:t xml:space="preserve"> </w:t>
      </w:r>
      <w:r w:rsidRPr="008F2BCE">
        <w:rPr>
          <w:sz w:val="24"/>
          <w:szCs w:val="24"/>
        </w:rPr>
        <w:t>poshtme ‘Menaxhimi i pacinetëve nën NOAC kur duhet të kryhet një ndërhyrje kirurgjikale e paplanifikuar’.</w:t>
      </w:r>
    </w:p>
    <w:p w14:paraId="7C4466B7" w14:textId="77777777" w:rsidR="009E1860" w:rsidRDefault="009E1860" w:rsidP="009E1860">
      <w:pPr>
        <w:rPr>
          <w:sz w:val="24"/>
          <w:szCs w:val="24"/>
        </w:rPr>
      </w:pPr>
    </w:p>
    <w:p w14:paraId="67258612" w14:textId="77777777" w:rsidR="009E1860" w:rsidRPr="00631EA2" w:rsidRDefault="009E1860" w:rsidP="009E1860">
      <w:pPr>
        <w:jc w:val="center"/>
        <w:rPr>
          <w:b/>
          <w:bCs/>
          <w:sz w:val="24"/>
          <w:szCs w:val="24"/>
        </w:rPr>
      </w:pPr>
      <w:r w:rsidRPr="00631EA2">
        <w:rPr>
          <w:b/>
          <w:bCs/>
          <w:sz w:val="24"/>
          <w:szCs w:val="24"/>
        </w:rPr>
        <w:t>Menaxhimi i pacinet</w:t>
      </w:r>
      <w:r>
        <w:rPr>
          <w:b/>
          <w:bCs/>
          <w:sz w:val="24"/>
          <w:szCs w:val="24"/>
        </w:rPr>
        <w:t>ë</w:t>
      </w:r>
      <w:r w:rsidRPr="00631EA2">
        <w:rPr>
          <w:b/>
          <w:bCs/>
          <w:sz w:val="24"/>
          <w:szCs w:val="24"/>
        </w:rPr>
        <w:t>ve n</w:t>
      </w:r>
      <w:r>
        <w:rPr>
          <w:b/>
          <w:bCs/>
          <w:sz w:val="24"/>
          <w:szCs w:val="24"/>
        </w:rPr>
        <w:t>ë</w:t>
      </w:r>
      <w:r w:rsidRPr="00631EA2">
        <w:rPr>
          <w:b/>
          <w:bCs/>
          <w:sz w:val="24"/>
          <w:szCs w:val="24"/>
        </w:rPr>
        <w:t>n NOAC kur duhet t</w:t>
      </w:r>
      <w:r>
        <w:rPr>
          <w:b/>
          <w:bCs/>
          <w:sz w:val="24"/>
          <w:szCs w:val="24"/>
        </w:rPr>
        <w:t>ë</w:t>
      </w:r>
      <w:r w:rsidRPr="00631EA2">
        <w:rPr>
          <w:b/>
          <w:bCs/>
          <w:sz w:val="24"/>
          <w:szCs w:val="24"/>
        </w:rPr>
        <w:t xml:space="preserve"> kryhet nj</w:t>
      </w:r>
      <w:r>
        <w:rPr>
          <w:b/>
          <w:bCs/>
          <w:sz w:val="24"/>
          <w:szCs w:val="24"/>
        </w:rPr>
        <w:t>ë</w:t>
      </w:r>
      <w:r w:rsidRPr="00631EA2">
        <w:rPr>
          <w:b/>
          <w:bCs/>
          <w:sz w:val="24"/>
          <w:szCs w:val="24"/>
        </w:rPr>
        <w:t xml:space="preserve"> nd</w:t>
      </w:r>
      <w:r>
        <w:rPr>
          <w:b/>
          <w:bCs/>
          <w:sz w:val="24"/>
          <w:szCs w:val="24"/>
        </w:rPr>
        <w:t>ë</w:t>
      </w:r>
      <w:r w:rsidRPr="00631EA2">
        <w:rPr>
          <w:b/>
          <w:bCs/>
          <w:sz w:val="24"/>
          <w:szCs w:val="24"/>
        </w:rPr>
        <w:t>rhyrje kirurgjikale e paplanifikuar</w:t>
      </w:r>
    </w:p>
    <w:p w14:paraId="259549AA" w14:textId="77777777" w:rsidR="009E1860" w:rsidRDefault="009E1860" w:rsidP="009E1860">
      <w:pPr>
        <w:rPr>
          <w:sz w:val="24"/>
          <w:szCs w:val="24"/>
        </w:rPr>
      </w:pPr>
      <w:r>
        <w:rPr>
          <w:noProof/>
        </w:rPr>
        <w:drawing>
          <wp:inline distT="0" distB="0" distL="0" distR="0" wp14:anchorId="15F76587" wp14:editId="4EFEA6B6">
            <wp:extent cx="5943600" cy="34582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458210"/>
                    </a:xfrm>
                    <a:prstGeom prst="rect">
                      <a:avLst/>
                    </a:prstGeom>
                  </pic:spPr>
                </pic:pic>
              </a:graphicData>
            </a:graphic>
          </wp:inline>
        </w:drawing>
      </w:r>
    </w:p>
    <w:p w14:paraId="6B37D286" w14:textId="77777777" w:rsidR="009E1860" w:rsidRDefault="009E1860" w:rsidP="009E1860">
      <w:pPr>
        <w:rPr>
          <w:sz w:val="24"/>
          <w:szCs w:val="24"/>
        </w:rPr>
      </w:pPr>
    </w:p>
    <w:p w14:paraId="579461BA" w14:textId="77777777" w:rsidR="009E1860" w:rsidRDefault="009E1860" w:rsidP="009E1860">
      <w:pPr>
        <w:rPr>
          <w:sz w:val="24"/>
          <w:szCs w:val="24"/>
        </w:rPr>
      </w:pPr>
    </w:p>
    <w:p w14:paraId="727610EE" w14:textId="77777777" w:rsidR="009E1860" w:rsidRDefault="009E1860" w:rsidP="009E1860">
      <w:pPr>
        <w:rPr>
          <w:sz w:val="24"/>
          <w:szCs w:val="24"/>
        </w:rPr>
      </w:pPr>
    </w:p>
    <w:p w14:paraId="36747E09" w14:textId="77777777" w:rsidR="009E1860" w:rsidRDefault="009E1860" w:rsidP="009E1860">
      <w:pPr>
        <w:rPr>
          <w:sz w:val="24"/>
          <w:szCs w:val="24"/>
        </w:rPr>
      </w:pPr>
      <w:r>
        <w:rPr>
          <w:sz w:val="24"/>
          <w:szCs w:val="24"/>
        </w:rPr>
        <w:t>Në të gjitha situatat, veçanërisht përpara aplikimit të ndonjë agjenti hemostatik, duhet të merret një panel i plotë i analizave të koagulimit (përfshirë PT, aPTT, anti-FXa, ose dTT/ECA etj.) për të vlerësuar statusin e koagulimit të pacientit. Edhe nëse në një situatë urgjente, indikacionet për aplikimin e antidotëve dhe/ose agjentëve pro-hemostatikë udhëhiqen më shumë nga situaat klinike e pacientit, rezultatet fillestare të këtyre analizave mund të kenë implikime të rëndësishme për trajtimin e mëtejshëm të pacientit, gjatë orëve në vijim. Për më tepër, vlerësimi i niveleve të NOAC në plazmë mund të jetë një ndihmë e madhe në interpretimin e statusit antikoagulant të pacientit, si dhe në zvogëlimin e çdo efekti të NOAC.</w:t>
      </w:r>
    </w:p>
    <w:p w14:paraId="2E13F79D" w14:textId="77777777" w:rsidR="009E1860" w:rsidRDefault="009E1860" w:rsidP="009E1860">
      <w:pPr>
        <w:rPr>
          <w:sz w:val="24"/>
          <w:szCs w:val="24"/>
        </w:rPr>
      </w:pPr>
    </w:p>
    <w:p w14:paraId="4F0EFB6E" w14:textId="77777777" w:rsidR="009E1860" w:rsidRPr="009C2372" w:rsidRDefault="009E1860" w:rsidP="009E1860">
      <w:pPr>
        <w:rPr>
          <w:b/>
          <w:bCs/>
          <w:sz w:val="24"/>
          <w:szCs w:val="24"/>
        </w:rPr>
      </w:pPr>
      <w:r>
        <w:rPr>
          <w:b/>
          <w:bCs/>
          <w:sz w:val="24"/>
          <w:szCs w:val="24"/>
        </w:rPr>
        <w:t xml:space="preserve">4.4 </w:t>
      </w:r>
      <w:r w:rsidRPr="009C2372">
        <w:rPr>
          <w:b/>
          <w:bCs/>
          <w:sz w:val="24"/>
          <w:szCs w:val="24"/>
        </w:rPr>
        <w:t>Pacientët që i nënshtrohen një procedure të planifikuar invazive, kirurgjisë ose ablacionit</w:t>
      </w:r>
    </w:p>
    <w:p w14:paraId="0CD08A0C" w14:textId="77777777" w:rsidR="009E1860" w:rsidRPr="009C2372" w:rsidRDefault="009E1860" w:rsidP="009E1860">
      <w:pPr>
        <w:rPr>
          <w:b/>
          <w:bCs/>
          <w:sz w:val="24"/>
          <w:szCs w:val="24"/>
        </w:rPr>
      </w:pPr>
      <w:r>
        <w:rPr>
          <w:b/>
          <w:bCs/>
          <w:sz w:val="24"/>
          <w:szCs w:val="24"/>
        </w:rPr>
        <w:t xml:space="preserve">4.4.1 </w:t>
      </w:r>
      <w:r w:rsidRPr="009C2372">
        <w:rPr>
          <w:b/>
          <w:bCs/>
          <w:sz w:val="24"/>
          <w:szCs w:val="24"/>
        </w:rPr>
        <w:t>Konsiderata të përgjithshme</w:t>
      </w:r>
    </w:p>
    <w:p w14:paraId="374CB518" w14:textId="77777777" w:rsidR="009E1860" w:rsidRDefault="009E1860" w:rsidP="009E1860">
      <w:pPr>
        <w:rPr>
          <w:sz w:val="24"/>
          <w:szCs w:val="24"/>
        </w:rPr>
      </w:pPr>
      <w:r>
        <w:rPr>
          <w:sz w:val="24"/>
          <w:szCs w:val="24"/>
        </w:rPr>
        <w:t>Brenda 2 viteve rreth një të katërtës së pacientëve me antikoagulim do t’u nevojitet ta ndërpresin përkohësisht terapinë me antikogulantë për një ndërhyrje të planifikuar. Shoqata të ndryshme kanë nxjerrë udhëzime të veçanta për kohën e ndërprerjes së NOAC para operacionit ose ndërhyrjeve.</w:t>
      </w:r>
    </w:p>
    <w:p w14:paraId="14CC1F2E" w14:textId="77777777" w:rsidR="009E1860" w:rsidRDefault="009E1860" w:rsidP="009E1860">
      <w:pPr>
        <w:rPr>
          <w:sz w:val="24"/>
          <w:szCs w:val="24"/>
        </w:rPr>
      </w:pPr>
      <w:r>
        <w:rPr>
          <w:sz w:val="24"/>
          <w:szCs w:val="24"/>
        </w:rPr>
        <w:t>Që nga prezantimi i tij, udhëzuesi praktik i EHRA synon të sigurojë një qasje të unifikuar e cila është sa më e thjeshtuar që të jetë e mundur për të lejuar zbatimin e saj të gjerë.</w:t>
      </w:r>
    </w:p>
    <w:p w14:paraId="75D4E9CB" w14:textId="77777777" w:rsidR="009E1860" w:rsidRDefault="009E1860" w:rsidP="009E1860">
      <w:pPr>
        <w:rPr>
          <w:sz w:val="24"/>
          <w:szCs w:val="24"/>
        </w:rPr>
      </w:pPr>
      <w:r>
        <w:rPr>
          <w:sz w:val="24"/>
          <w:szCs w:val="24"/>
        </w:rPr>
        <w:t>Trajtimi i individualizuar bazuar në karakteristikat e pacientit mund të përmirësojë më tej sigurinë.</w:t>
      </w:r>
    </w:p>
    <w:p w14:paraId="041A18E5" w14:textId="77777777" w:rsidR="009E1860" w:rsidRDefault="009E1860" w:rsidP="009E1860">
      <w:pPr>
        <w:rPr>
          <w:sz w:val="24"/>
          <w:szCs w:val="24"/>
        </w:rPr>
      </w:pPr>
      <w:r>
        <w:rPr>
          <w:sz w:val="24"/>
          <w:szCs w:val="24"/>
        </w:rPr>
        <w:t>Ndërsa ndërhyrjet kirurgjikale invazive kërkojnë ndërprerje të përkohshme të NOAC, shumë procedura më pak invazive mbartin një rrezik relativisht të ulët hemorragjik dhe mund të kryhen nën terapi minimale ose të pandërprerë me NOAC (Shiko tabelën: ‘</w:t>
      </w:r>
      <w:r w:rsidRPr="00DE1E49">
        <w:rPr>
          <w:sz w:val="24"/>
          <w:szCs w:val="24"/>
        </w:rPr>
        <w:t>Klasifikimi i nd</w:t>
      </w:r>
      <w:r>
        <w:rPr>
          <w:sz w:val="24"/>
          <w:szCs w:val="24"/>
        </w:rPr>
        <w:t>ë</w:t>
      </w:r>
      <w:r w:rsidRPr="00DE1E49">
        <w:rPr>
          <w:sz w:val="24"/>
          <w:szCs w:val="24"/>
        </w:rPr>
        <w:t>rhyrjeve kirurgjikale elektive (t</w:t>
      </w:r>
      <w:r>
        <w:rPr>
          <w:sz w:val="24"/>
          <w:szCs w:val="24"/>
        </w:rPr>
        <w:t>ë</w:t>
      </w:r>
      <w:r w:rsidRPr="00DE1E49">
        <w:rPr>
          <w:sz w:val="24"/>
          <w:szCs w:val="24"/>
        </w:rPr>
        <w:t xml:space="preserve"> planifikuara) sipas riskut hemorragjik</w:t>
      </w:r>
      <w:r>
        <w:rPr>
          <w:sz w:val="24"/>
          <w:szCs w:val="24"/>
        </w:rPr>
        <w:t xml:space="preserve">’ dhe Figurat 1-3). </w:t>
      </w:r>
    </w:p>
    <w:p w14:paraId="7839BE50" w14:textId="77777777" w:rsidR="009E1860" w:rsidRDefault="009E1860" w:rsidP="009E1860">
      <w:pPr>
        <w:rPr>
          <w:sz w:val="24"/>
          <w:szCs w:val="24"/>
        </w:rPr>
      </w:pPr>
    </w:p>
    <w:p w14:paraId="5A46FAF2" w14:textId="77777777" w:rsidR="009E1860" w:rsidRDefault="009E1860" w:rsidP="009E1860">
      <w:pPr>
        <w:rPr>
          <w:sz w:val="24"/>
          <w:szCs w:val="24"/>
        </w:rPr>
      </w:pPr>
    </w:p>
    <w:p w14:paraId="701607BA" w14:textId="77777777" w:rsidR="009E1860" w:rsidRDefault="009E1860" w:rsidP="009E1860">
      <w:pPr>
        <w:rPr>
          <w:sz w:val="24"/>
          <w:szCs w:val="24"/>
        </w:rPr>
      </w:pPr>
    </w:p>
    <w:p w14:paraId="18336767" w14:textId="77777777" w:rsidR="009E1860" w:rsidRDefault="009E1860" w:rsidP="009E1860">
      <w:pPr>
        <w:rPr>
          <w:sz w:val="24"/>
          <w:szCs w:val="24"/>
        </w:rPr>
      </w:pPr>
    </w:p>
    <w:p w14:paraId="0712A593" w14:textId="77777777" w:rsidR="009E1860" w:rsidRDefault="009E1860" w:rsidP="009E1860">
      <w:pPr>
        <w:rPr>
          <w:sz w:val="24"/>
          <w:szCs w:val="24"/>
        </w:rPr>
      </w:pPr>
    </w:p>
    <w:p w14:paraId="7166B2FE" w14:textId="77777777" w:rsidR="009E1860" w:rsidRDefault="009E1860" w:rsidP="009E1860">
      <w:pPr>
        <w:rPr>
          <w:sz w:val="24"/>
          <w:szCs w:val="24"/>
        </w:rPr>
      </w:pPr>
    </w:p>
    <w:p w14:paraId="0BEDBC21" w14:textId="77777777" w:rsidR="009E1860" w:rsidRDefault="009E1860" w:rsidP="009E1860">
      <w:pPr>
        <w:rPr>
          <w:sz w:val="24"/>
          <w:szCs w:val="24"/>
        </w:rPr>
      </w:pPr>
    </w:p>
    <w:p w14:paraId="3A56E939" w14:textId="77777777" w:rsidR="009E1860" w:rsidRDefault="009E1860" w:rsidP="009E1860">
      <w:pPr>
        <w:rPr>
          <w:sz w:val="24"/>
          <w:szCs w:val="24"/>
        </w:rPr>
      </w:pPr>
    </w:p>
    <w:p w14:paraId="333E0221" w14:textId="77777777" w:rsidR="009E1860" w:rsidRDefault="009E1860" w:rsidP="009E1860">
      <w:pPr>
        <w:rPr>
          <w:b/>
          <w:bCs/>
          <w:noProof/>
          <w:sz w:val="24"/>
          <w:szCs w:val="24"/>
        </w:rPr>
      </w:pPr>
    </w:p>
    <w:p w14:paraId="6CE47E55" w14:textId="77777777" w:rsidR="009E1860" w:rsidRDefault="009E1860" w:rsidP="009E1860">
      <w:pPr>
        <w:rPr>
          <w:b/>
          <w:bCs/>
          <w:noProof/>
          <w:sz w:val="24"/>
          <w:szCs w:val="24"/>
        </w:rPr>
      </w:pPr>
    </w:p>
    <w:p w14:paraId="14CF749F" w14:textId="77777777" w:rsidR="009E1860" w:rsidRPr="00B318DF" w:rsidRDefault="009E1860" w:rsidP="009E1860">
      <w:pPr>
        <w:rPr>
          <w:b/>
          <w:bCs/>
          <w:noProof/>
          <w:sz w:val="24"/>
          <w:szCs w:val="24"/>
        </w:rPr>
      </w:pPr>
      <w:r w:rsidRPr="00B318DF">
        <w:rPr>
          <w:b/>
          <w:bCs/>
          <w:noProof/>
          <w:sz w:val="24"/>
          <w:szCs w:val="24"/>
        </w:rPr>
        <w:t>Klasifikimi i nd</w:t>
      </w:r>
      <w:r>
        <w:rPr>
          <w:b/>
          <w:bCs/>
          <w:noProof/>
          <w:sz w:val="24"/>
          <w:szCs w:val="24"/>
        </w:rPr>
        <w:t>ë</w:t>
      </w:r>
      <w:r w:rsidRPr="00B318DF">
        <w:rPr>
          <w:b/>
          <w:bCs/>
          <w:noProof/>
          <w:sz w:val="24"/>
          <w:szCs w:val="24"/>
        </w:rPr>
        <w:t>rhyrjeve kirurgjikale elektive (t</w:t>
      </w:r>
      <w:r>
        <w:rPr>
          <w:b/>
          <w:bCs/>
          <w:noProof/>
          <w:sz w:val="24"/>
          <w:szCs w:val="24"/>
        </w:rPr>
        <w:t>ë</w:t>
      </w:r>
      <w:r w:rsidRPr="00B318DF">
        <w:rPr>
          <w:b/>
          <w:bCs/>
          <w:noProof/>
          <w:sz w:val="24"/>
          <w:szCs w:val="24"/>
        </w:rPr>
        <w:t xml:space="preserve"> planifikuara) sipas ri</w:t>
      </w:r>
      <w:r>
        <w:rPr>
          <w:b/>
          <w:bCs/>
          <w:noProof/>
          <w:sz w:val="24"/>
          <w:szCs w:val="24"/>
        </w:rPr>
        <w:t>s</w:t>
      </w:r>
      <w:r w:rsidRPr="00B318DF">
        <w:rPr>
          <w:b/>
          <w:bCs/>
          <w:noProof/>
          <w:sz w:val="24"/>
          <w:szCs w:val="24"/>
        </w:rPr>
        <w:t>kut hemorragjik</w:t>
      </w:r>
    </w:p>
    <w:p w14:paraId="75B9C768" w14:textId="77777777" w:rsidR="009E1860" w:rsidRDefault="009E1860" w:rsidP="009E1860">
      <w:pPr>
        <w:ind w:left="-1260"/>
        <w:rPr>
          <w:sz w:val="24"/>
          <w:szCs w:val="24"/>
        </w:rPr>
      </w:pPr>
      <w:r>
        <w:rPr>
          <w:noProof/>
        </w:rPr>
        <w:drawing>
          <wp:inline distT="0" distB="0" distL="0" distR="0" wp14:anchorId="1A4E7693" wp14:editId="4F27B2CD">
            <wp:extent cx="7603171" cy="5664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611019" cy="5670047"/>
                    </a:xfrm>
                    <a:prstGeom prst="rect">
                      <a:avLst/>
                    </a:prstGeom>
                  </pic:spPr>
                </pic:pic>
              </a:graphicData>
            </a:graphic>
          </wp:inline>
        </w:drawing>
      </w:r>
    </w:p>
    <w:p w14:paraId="7323E434" w14:textId="77777777" w:rsidR="009E1860" w:rsidRDefault="009E1860" w:rsidP="009E1860">
      <w:pPr>
        <w:rPr>
          <w:sz w:val="24"/>
          <w:szCs w:val="24"/>
        </w:rPr>
      </w:pPr>
    </w:p>
    <w:p w14:paraId="42F68FCF" w14:textId="77777777" w:rsidR="009E1860" w:rsidRDefault="009E1860" w:rsidP="009E1860">
      <w:pPr>
        <w:rPr>
          <w:sz w:val="24"/>
          <w:szCs w:val="24"/>
        </w:rPr>
      </w:pPr>
    </w:p>
    <w:p w14:paraId="07F7C7DA" w14:textId="77777777" w:rsidR="009E1860" w:rsidRDefault="009E1860" w:rsidP="009E1860">
      <w:pPr>
        <w:rPr>
          <w:sz w:val="24"/>
          <w:szCs w:val="24"/>
        </w:rPr>
      </w:pPr>
    </w:p>
    <w:p w14:paraId="47BAACE5" w14:textId="77777777" w:rsidR="009E1860" w:rsidRDefault="009E1860" w:rsidP="009E1860">
      <w:pPr>
        <w:rPr>
          <w:sz w:val="24"/>
          <w:szCs w:val="24"/>
        </w:rPr>
      </w:pPr>
    </w:p>
    <w:p w14:paraId="5F879798" w14:textId="77777777" w:rsidR="009E1860" w:rsidRDefault="009E1860" w:rsidP="009E1860">
      <w:pPr>
        <w:rPr>
          <w:sz w:val="24"/>
          <w:szCs w:val="24"/>
        </w:rPr>
      </w:pPr>
    </w:p>
    <w:p w14:paraId="6FCF8A37" w14:textId="77777777" w:rsidR="009E1860" w:rsidRDefault="009E1860" w:rsidP="009E1860">
      <w:pPr>
        <w:rPr>
          <w:sz w:val="24"/>
          <w:szCs w:val="24"/>
        </w:rPr>
      </w:pPr>
    </w:p>
    <w:p w14:paraId="07F664AF" w14:textId="77777777" w:rsidR="009E1860" w:rsidRDefault="009E1860" w:rsidP="009E1860">
      <w:pPr>
        <w:rPr>
          <w:sz w:val="24"/>
          <w:szCs w:val="24"/>
        </w:rPr>
      </w:pPr>
    </w:p>
    <w:p w14:paraId="12813511" w14:textId="77777777" w:rsidR="009E1860" w:rsidRPr="008F2BCE" w:rsidRDefault="009E1860" w:rsidP="009E1860">
      <w:pPr>
        <w:rPr>
          <w:b/>
          <w:bCs/>
          <w:sz w:val="24"/>
          <w:szCs w:val="24"/>
        </w:rPr>
      </w:pPr>
      <w:r w:rsidRPr="008F2BCE">
        <w:rPr>
          <w:b/>
          <w:bCs/>
          <w:sz w:val="24"/>
          <w:szCs w:val="24"/>
        </w:rPr>
        <w:t xml:space="preserve">                     Figura 1: Menaxhimi peripoerativ i pacienteve nën NOAC</w:t>
      </w:r>
    </w:p>
    <w:p w14:paraId="01DD7617" w14:textId="77777777" w:rsidR="009E1860" w:rsidRDefault="009E1860" w:rsidP="009E1860">
      <w:pPr>
        <w:rPr>
          <w:sz w:val="24"/>
          <w:szCs w:val="24"/>
        </w:rPr>
      </w:pPr>
      <w:r>
        <w:rPr>
          <w:noProof/>
        </w:rPr>
        <w:drawing>
          <wp:inline distT="0" distB="0" distL="0" distR="0" wp14:anchorId="410354AA" wp14:editId="37D3D0B4">
            <wp:extent cx="5943600" cy="46380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38040"/>
                    </a:xfrm>
                    <a:prstGeom prst="rect">
                      <a:avLst/>
                    </a:prstGeom>
                  </pic:spPr>
                </pic:pic>
              </a:graphicData>
            </a:graphic>
          </wp:inline>
        </w:drawing>
      </w:r>
    </w:p>
    <w:p w14:paraId="28080A94" w14:textId="77777777" w:rsidR="009E1860" w:rsidRDefault="009E1860" w:rsidP="009E1860">
      <w:pPr>
        <w:rPr>
          <w:sz w:val="24"/>
          <w:szCs w:val="24"/>
        </w:rPr>
      </w:pPr>
    </w:p>
    <w:p w14:paraId="578A886A" w14:textId="77777777" w:rsidR="009E1860" w:rsidRDefault="009E1860" w:rsidP="009E1860">
      <w:pPr>
        <w:rPr>
          <w:sz w:val="24"/>
          <w:szCs w:val="24"/>
        </w:rPr>
      </w:pPr>
    </w:p>
    <w:p w14:paraId="78A02146" w14:textId="77777777" w:rsidR="009E1860" w:rsidRDefault="009E1860" w:rsidP="009E1860">
      <w:pPr>
        <w:rPr>
          <w:sz w:val="24"/>
          <w:szCs w:val="24"/>
        </w:rPr>
      </w:pPr>
    </w:p>
    <w:p w14:paraId="3229614F" w14:textId="77777777" w:rsidR="009E1860" w:rsidRDefault="009E1860" w:rsidP="009E1860">
      <w:pPr>
        <w:rPr>
          <w:sz w:val="24"/>
          <w:szCs w:val="24"/>
        </w:rPr>
      </w:pPr>
    </w:p>
    <w:p w14:paraId="7886D64F" w14:textId="77777777" w:rsidR="009E1860" w:rsidRDefault="009E1860" w:rsidP="009E1860">
      <w:pPr>
        <w:rPr>
          <w:sz w:val="24"/>
          <w:szCs w:val="24"/>
        </w:rPr>
      </w:pPr>
    </w:p>
    <w:p w14:paraId="67D880E5" w14:textId="77777777" w:rsidR="009E1860" w:rsidRDefault="009E1860" w:rsidP="009E1860">
      <w:pPr>
        <w:rPr>
          <w:sz w:val="24"/>
          <w:szCs w:val="24"/>
        </w:rPr>
      </w:pPr>
    </w:p>
    <w:p w14:paraId="77D5B61E" w14:textId="77777777" w:rsidR="009E1860" w:rsidRDefault="009E1860" w:rsidP="009E1860">
      <w:pPr>
        <w:rPr>
          <w:sz w:val="24"/>
          <w:szCs w:val="24"/>
        </w:rPr>
      </w:pPr>
    </w:p>
    <w:p w14:paraId="5CB89070" w14:textId="77777777" w:rsidR="009E1860" w:rsidRDefault="009E1860" w:rsidP="009E1860">
      <w:pPr>
        <w:rPr>
          <w:sz w:val="24"/>
          <w:szCs w:val="24"/>
        </w:rPr>
      </w:pPr>
    </w:p>
    <w:p w14:paraId="2F89F620" w14:textId="77777777" w:rsidR="009E1860" w:rsidRDefault="009E1860" w:rsidP="009E1860">
      <w:pPr>
        <w:rPr>
          <w:sz w:val="24"/>
          <w:szCs w:val="24"/>
        </w:rPr>
      </w:pPr>
    </w:p>
    <w:p w14:paraId="5AB3F082" w14:textId="77777777" w:rsidR="009E1860" w:rsidRDefault="009E1860" w:rsidP="009E1860">
      <w:pPr>
        <w:rPr>
          <w:sz w:val="24"/>
          <w:szCs w:val="24"/>
        </w:rPr>
      </w:pPr>
    </w:p>
    <w:p w14:paraId="441E7E9F" w14:textId="77777777" w:rsidR="009E1860" w:rsidRDefault="009E1860" w:rsidP="009E1860">
      <w:pPr>
        <w:rPr>
          <w:b/>
          <w:bCs/>
          <w:sz w:val="24"/>
          <w:szCs w:val="24"/>
        </w:rPr>
      </w:pPr>
      <w:r>
        <w:rPr>
          <w:sz w:val="24"/>
          <w:szCs w:val="24"/>
        </w:rPr>
        <w:t xml:space="preserve">          </w:t>
      </w:r>
      <w:r w:rsidRPr="005D130A">
        <w:rPr>
          <w:b/>
          <w:bCs/>
          <w:sz w:val="24"/>
          <w:szCs w:val="24"/>
        </w:rPr>
        <w:t xml:space="preserve">Figura 2: Koha </w:t>
      </w:r>
      <w:r>
        <w:rPr>
          <w:b/>
          <w:bCs/>
          <w:sz w:val="24"/>
          <w:szCs w:val="24"/>
        </w:rPr>
        <w:t>se kur duhet të ndërpritet një</w:t>
      </w:r>
      <w:r w:rsidRPr="005D130A">
        <w:rPr>
          <w:b/>
          <w:bCs/>
          <w:sz w:val="24"/>
          <w:szCs w:val="24"/>
        </w:rPr>
        <w:t xml:space="preserve"> NOAC para nj</w:t>
      </w:r>
      <w:r>
        <w:rPr>
          <w:b/>
          <w:bCs/>
          <w:sz w:val="24"/>
          <w:szCs w:val="24"/>
        </w:rPr>
        <w:t>ë</w:t>
      </w:r>
      <w:r w:rsidRPr="005D130A">
        <w:rPr>
          <w:b/>
          <w:bCs/>
          <w:sz w:val="24"/>
          <w:szCs w:val="24"/>
        </w:rPr>
        <w:t xml:space="preserve"> nd</w:t>
      </w:r>
      <w:r>
        <w:rPr>
          <w:b/>
          <w:bCs/>
          <w:sz w:val="24"/>
          <w:szCs w:val="24"/>
        </w:rPr>
        <w:t>ë</w:t>
      </w:r>
      <w:r w:rsidRPr="005D130A">
        <w:rPr>
          <w:b/>
          <w:bCs/>
          <w:sz w:val="24"/>
          <w:szCs w:val="24"/>
        </w:rPr>
        <w:t>rhyrje elektive</w:t>
      </w:r>
      <w:r>
        <w:rPr>
          <w:b/>
          <w:bCs/>
          <w:sz w:val="24"/>
          <w:szCs w:val="24"/>
        </w:rPr>
        <w:t xml:space="preserve"> (në vëarësi të funksionit renal/klirensit të kreatininës)</w:t>
      </w:r>
    </w:p>
    <w:p w14:paraId="60EC79F8" w14:textId="77777777" w:rsidR="009E1860" w:rsidRDefault="009E1860" w:rsidP="009E1860">
      <w:pPr>
        <w:rPr>
          <w:sz w:val="24"/>
          <w:szCs w:val="24"/>
        </w:rPr>
      </w:pPr>
    </w:p>
    <w:tbl>
      <w:tblPr>
        <w:tblW w:w="9220" w:type="dxa"/>
        <w:tblLook w:val="04A0" w:firstRow="1" w:lastRow="0" w:firstColumn="1" w:lastColumn="0" w:noHBand="0" w:noVBand="1"/>
      </w:tblPr>
      <w:tblGrid>
        <w:gridCol w:w="1920"/>
        <w:gridCol w:w="1780"/>
        <w:gridCol w:w="1840"/>
        <w:gridCol w:w="1500"/>
        <w:gridCol w:w="2180"/>
      </w:tblGrid>
      <w:tr w:rsidR="009E1860" w:rsidRPr="00B318DF" w14:paraId="478EE788" w14:textId="77777777" w:rsidTr="00DE7904">
        <w:trPr>
          <w:trHeight w:val="310"/>
        </w:trPr>
        <w:tc>
          <w:tcPr>
            <w:tcW w:w="19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0019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3620" w:type="dxa"/>
            <w:gridSpan w:val="2"/>
            <w:tcBorders>
              <w:top w:val="single" w:sz="4" w:space="0" w:color="auto"/>
              <w:left w:val="nil"/>
              <w:bottom w:val="single" w:sz="4" w:space="0" w:color="auto"/>
              <w:right w:val="single" w:sz="4" w:space="0" w:color="000000"/>
            </w:tcBorders>
            <w:shd w:val="clear" w:color="auto" w:fill="auto"/>
            <w:vAlign w:val="bottom"/>
            <w:hideMark/>
          </w:tcPr>
          <w:p w14:paraId="601B2B7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Dabigatran</w:t>
            </w:r>
          </w:p>
        </w:tc>
        <w:tc>
          <w:tcPr>
            <w:tcW w:w="3680" w:type="dxa"/>
            <w:gridSpan w:val="2"/>
            <w:tcBorders>
              <w:top w:val="single" w:sz="4" w:space="0" w:color="auto"/>
              <w:left w:val="nil"/>
              <w:bottom w:val="single" w:sz="4" w:space="0" w:color="auto"/>
              <w:right w:val="single" w:sz="4" w:space="0" w:color="000000"/>
            </w:tcBorders>
            <w:shd w:val="clear" w:color="auto" w:fill="auto"/>
            <w:vAlign w:val="bottom"/>
            <w:hideMark/>
          </w:tcPr>
          <w:p w14:paraId="0D606EF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Apixaban - Edoxaban - Rivaroxaban</w:t>
            </w:r>
          </w:p>
        </w:tc>
      </w:tr>
      <w:tr w:rsidR="009E1860" w:rsidRPr="00B318DF" w14:paraId="6C55DFD1" w14:textId="77777777" w:rsidTr="00DE7904">
        <w:trPr>
          <w:trHeight w:val="55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99CC"/>
            <w:vAlign w:val="bottom"/>
            <w:hideMark/>
          </w:tcPr>
          <w:p w14:paraId="50551D67"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Me nderprerjen e NOAC, nuk duhet bere kalimi ne LM</w:t>
            </w:r>
            <w:r>
              <w:rPr>
                <w:rFonts w:ascii="Calibri" w:eastAsia="Times New Roman" w:hAnsi="Calibri" w:cs="Calibri"/>
                <w:b/>
                <w:bCs/>
                <w:color w:val="000000"/>
                <w:sz w:val="24"/>
                <w:szCs w:val="24"/>
              </w:rPr>
              <w:t>W</w:t>
            </w:r>
            <w:r w:rsidRPr="00B318DF">
              <w:rPr>
                <w:rFonts w:ascii="Calibri" w:eastAsia="Times New Roman" w:hAnsi="Calibri" w:cs="Calibri"/>
                <w:b/>
                <w:bCs/>
                <w:color w:val="000000"/>
                <w:sz w:val="24"/>
                <w:szCs w:val="24"/>
              </w:rPr>
              <w:t>H/UFH para operacionit</w:t>
            </w:r>
          </w:p>
        </w:tc>
      </w:tr>
      <w:tr w:rsidR="009E1860" w:rsidRPr="00B318DF" w14:paraId="62783AFA" w14:textId="77777777" w:rsidTr="00DE7904">
        <w:trPr>
          <w:trHeight w:val="760"/>
        </w:trPr>
        <w:tc>
          <w:tcPr>
            <w:tcW w:w="9220" w:type="dxa"/>
            <w:gridSpan w:val="5"/>
            <w:tcBorders>
              <w:top w:val="single" w:sz="4" w:space="0" w:color="auto"/>
              <w:left w:val="single" w:sz="4" w:space="0" w:color="auto"/>
              <w:bottom w:val="single" w:sz="4" w:space="0" w:color="auto"/>
              <w:right w:val="single" w:sz="4" w:space="0" w:color="000000"/>
            </w:tcBorders>
            <w:shd w:val="clear" w:color="000000" w:fill="FFFF00"/>
            <w:vAlign w:val="bottom"/>
            <w:hideMark/>
          </w:tcPr>
          <w:p w14:paraId="3578483E"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Procedura me risk te vogel: -kryeje proceduren ne nivelin minimal te NOAC (dmth 12 / 24 ore pas dozes se fundit, - rifillo ne te njejten dite ose maksimumi diten tjeter</w:t>
            </w:r>
          </w:p>
        </w:tc>
      </w:tr>
      <w:tr w:rsidR="009E1860" w:rsidRPr="00B318DF" w14:paraId="4520E97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397B7B7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w:t>
            </w:r>
          </w:p>
        </w:tc>
        <w:tc>
          <w:tcPr>
            <w:tcW w:w="1780" w:type="dxa"/>
            <w:tcBorders>
              <w:top w:val="nil"/>
              <w:left w:val="nil"/>
              <w:bottom w:val="single" w:sz="4" w:space="0" w:color="auto"/>
              <w:right w:val="single" w:sz="4" w:space="0" w:color="auto"/>
            </w:tcBorders>
            <w:shd w:val="clear" w:color="000000" w:fill="FFC000"/>
            <w:vAlign w:val="center"/>
            <w:hideMark/>
          </w:tcPr>
          <w:p w14:paraId="513C3442"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1840" w:type="dxa"/>
            <w:tcBorders>
              <w:top w:val="nil"/>
              <w:left w:val="nil"/>
              <w:bottom w:val="single" w:sz="4" w:space="0" w:color="auto"/>
              <w:right w:val="single" w:sz="4" w:space="0" w:color="auto"/>
            </w:tcBorders>
            <w:shd w:val="clear" w:color="000000" w:fill="FF0000"/>
            <w:vAlign w:val="center"/>
            <w:hideMark/>
          </w:tcPr>
          <w:p w14:paraId="0DADB261"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c>
          <w:tcPr>
            <w:tcW w:w="1500" w:type="dxa"/>
            <w:tcBorders>
              <w:top w:val="nil"/>
              <w:left w:val="nil"/>
              <w:bottom w:val="single" w:sz="4" w:space="0" w:color="auto"/>
              <w:right w:val="single" w:sz="4" w:space="0" w:color="auto"/>
            </w:tcBorders>
            <w:shd w:val="clear" w:color="000000" w:fill="FFC000"/>
            <w:vAlign w:val="center"/>
            <w:hideMark/>
          </w:tcPr>
          <w:p w14:paraId="5BA0E40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ulet</w:t>
            </w:r>
          </w:p>
        </w:tc>
        <w:tc>
          <w:tcPr>
            <w:tcW w:w="2180" w:type="dxa"/>
            <w:tcBorders>
              <w:top w:val="nil"/>
              <w:left w:val="nil"/>
              <w:bottom w:val="single" w:sz="4" w:space="0" w:color="auto"/>
              <w:right w:val="single" w:sz="4" w:space="0" w:color="auto"/>
            </w:tcBorders>
            <w:shd w:val="clear" w:color="000000" w:fill="FF0000"/>
            <w:vAlign w:val="center"/>
            <w:hideMark/>
          </w:tcPr>
          <w:p w14:paraId="465850C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Risk i larte</w:t>
            </w:r>
          </w:p>
        </w:tc>
      </w:tr>
      <w:tr w:rsidR="009E1860" w:rsidRPr="00B318DF" w14:paraId="4277D4AA"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1AAA6DE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CrCl≥80 ml/min</w:t>
            </w:r>
          </w:p>
        </w:tc>
        <w:tc>
          <w:tcPr>
            <w:tcW w:w="1780" w:type="dxa"/>
            <w:tcBorders>
              <w:top w:val="nil"/>
              <w:left w:val="nil"/>
              <w:bottom w:val="single" w:sz="4" w:space="0" w:color="auto"/>
              <w:right w:val="single" w:sz="4" w:space="0" w:color="auto"/>
            </w:tcBorders>
            <w:shd w:val="clear" w:color="auto" w:fill="auto"/>
            <w:vAlign w:val="bottom"/>
            <w:hideMark/>
          </w:tcPr>
          <w:p w14:paraId="174601D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70C0"/>
            <w:vAlign w:val="bottom"/>
            <w:hideMark/>
          </w:tcPr>
          <w:p w14:paraId="73C087C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48 h</w:t>
            </w:r>
          </w:p>
        </w:tc>
        <w:tc>
          <w:tcPr>
            <w:tcW w:w="1500" w:type="dxa"/>
            <w:vMerge w:val="restart"/>
            <w:tcBorders>
              <w:top w:val="nil"/>
              <w:left w:val="single" w:sz="4" w:space="0" w:color="auto"/>
              <w:bottom w:val="single" w:sz="4" w:space="0" w:color="000000"/>
              <w:right w:val="single" w:sz="4" w:space="0" w:color="auto"/>
            </w:tcBorders>
            <w:shd w:val="clear" w:color="auto" w:fill="auto"/>
            <w:vAlign w:val="center"/>
            <w:hideMark/>
          </w:tcPr>
          <w:p w14:paraId="3C263A8F"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≥24 h</w:t>
            </w:r>
          </w:p>
        </w:tc>
        <w:tc>
          <w:tcPr>
            <w:tcW w:w="2180" w:type="dxa"/>
            <w:vMerge w:val="restart"/>
            <w:tcBorders>
              <w:top w:val="nil"/>
              <w:left w:val="single" w:sz="4" w:space="0" w:color="auto"/>
              <w:bottom w:val="single" w:sz="4" w:space="0" w:color="000000"/>
              <w:right w:val="single" w:sz="4" w:space="0" w:color="auto"/>
            </w:tcBorders>
            <w:shd w:val="clear" w:color="000000" w:fill="0070C0"/>
            <w:vAlign w:val="center"/>
            <w:hideMark/>
          </w:tcPr>
          <w:p w14:paraId="21A14243"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≥48 h</w:t>
            </w:r>
          </w:p>
        </w:tc>
      </w:tr>
      <w:tr w:rsidR="009E1860" w:rsidRPr="00B318DF" w14:paraId="02F110E3"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0A264CD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50-79 ml/min</w:t>
            </w:r>
          </w:p>
        </w:tc>
        <w:tc>
          <w:tcPr>
            <w:tcW w:w="1780" w:type="dxa"/>
            <w:tcBorders>
              <w:top w:val="nil"/>
              <w:left w:val="nil"/>
              <w:bottom w:val="single" w:sz="4" w:space="0" w:color="auto"/>
              <w:right w:val="single" w:sz="4" w:space="0" w:color="auto"/>
            </w:tcBorders>
            <w:shd w:val="clear" w:color="000000" w:fill="0099FF"/>
            <w:vAlign w:val="bottom"/>
            <w:hideMark/>
          </w:tcPr>
          <w:p w14:paraId="7A5D6CE0"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CC"/>
            <w:vAlign w:val="bottom"/>
            <w:hideMark/>
          </w:tcPr>
          <w:p w14:paraId="6D26B8BF"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72 h</w:t>
            </w:r>
          </w:p>
        </w:tc>
        <w:tc>
          <w:tcPr>
            <w:tcW w:w="1500" w:type="dxa"/>
            <w:vMerge/>
            <w:tcBorders>
              <w:top w:val="nil"/>
              <w:left w:val="single" w:sz="4" w:space="0" w:color="auto"/>
              <w:bottom w:val="single" w:sz="4" w:space="0" w:color="000000"/>
              <w:right w:val="single" w:sz="4" w:space="0" w:color="auto"/>
            </w:tcBorders>
            <w:vAlign w:val="center"/>
            <w:hideMark/>
          </w:tcPr>
          <w:p w14:paraId="018A5C78"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340A1C6B"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1200E132"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7521958A"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30-49 ml/min</w:t>
            </w:r>
          </w:p>
        </w:tc>
        <w:tc>
          <w:tcPr>
            <w:tcW w:w="1780" w:type="dxa"/>
            <w:tcBorders>
              <w:top w:val="nil"/>
              <w:left w:val="nil"/>
              <w:bottom w:val="single" w:sz="4" w:space="0" w:color="auto"/>
              <w:right w:val="single" w:sz="4" w:space="0" w:color="auto"/>
            </w:tcBorders>
            <w:shd w:val="clear" w:color="000000" w:fill="0070C0"/>
            <w:vAlign w:val="bottom"/>
            <w:hideMark/>
          </w:tcPr>
          <w:p w14:paraId="2472B2C1"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 24 h</w:t>
            </w:r>
          </w:p>
        </w:tc>
        <w:tc>
          <w:tcPr>
            <w:tcW w:w="1840" w:type="dxa"/>
            <w:tcBorders>
              <w:top w:val="nil"/>
              <w:left w:val="nil"/>
              <w:bottom w:val="single" w:sz="4" w:space="0" w:color="auto"/>
              <w:right w:val="single" w:sz="4" w:space="0" w:color="auto"/>
            </w:tcBorders>
            <w:shd w:val="clear" w:color="000000" w:fill="000000"/>
            <w:vAlign w:val="bottom"/>
            <w:hideMark/>
          </w:tcPr>
          <w:p w14:paraId="5F40605E" w14:textId="77777777" w:rsidR="009E1860" w:rsidRPr="00B318DF" w:rsidRDefault="009E1860" w:rsidP="00DE7904">
            <w:pPr>
              <w:spacing w:after="0" w:line="240" w:lineRule="auto"/>
              <w:rPr>
                <w:rFonts w:ascii="Calibri" w:eastAsia="Times New Roman" w:hAnsi="Calibri" w:cs="Calibri"/>
                <w:b/>
                <w:bCs/>
                <w:color w:val="FFFFFF"/>
                <w:sz w:val="24"/>
                <w:szCs w:val="24"/>
              </w:rPr>
            </w:pPr>
            <w:r w:rsidRPr="00B318DF">
              <w:rPr>
                <w:rFonts w:ascii="Calibri" w:eastAsia="Times New Roman" w:hAnsi="Calibri" w:cs="Calibri"/>
                <w:b/>
                <w:bCs/>
                <w:color w:val="FFFFFF"/>
                <w:sz w:val="24"/>
                <w:szCs w:val="24"/>
              </w:rPr>
              <w:t>≥ 96 h</w:t>
            </w:r>
          </w:p>
        </w:tc>
        <w:tc>
          <w:tcPr>
            <w:tcW w:w="1500" w:type="dxa"/>
            <w:vMerge/>
            <w:tcBorders>
              <w:top w:val="nil"/>
              <w:left w:val="single" w:sz="4" w:space="0" w:color="auto"/>
              <w:bottom w:val="single" w:sz="4" w:space="0" w:color="000000"/>
              <w:right w:val="single" w:sz="4" w:space="0" w:color="auto"/>
            </w:tcBorders>
            <w:vAlign w:val="center"/>
            <w:hideMark/>
          </w:tcPr>
          <w:p w14:paraId="43BDD036" w14:textId="77777777" w:rsidR="009E1860" w:rsidRPr="00B318DF" w:rsidRDefault="009E1860" w:rsidP="00DE7904">
            <w:pPr>
              <w:spacing w:after="0" w:line="240" w:lineRule="auto"/>
              <w:rPr>
                <w:rFonts w:ascii="Calibri" w:eastAsia="Times New Roman" w:hAnsi="Calibri" w:cs="Calibri"/>
                <w:b/>
                <w:bCs/>
                <w:color w:val="000000"/>
                <w:sz w:val="24"/>
                <w:szCs w:val="24"/>
              </w:rPr>
            </w:pPr>
          </w:p>
        </w:tc>
        <w:tc>
          <w:tcPr>
            <w:tcW w:w="2180" w:type="dxa"/>
            <w:vMerge/>
            <w:tcBorders>
              <w:top w:val="nil"/>
              <w:left w:val="single" w:sz="4" w:space="0" w:color="auto"/>
              <w:bottom w:val="single" w:sz="4" w:space="0" w:color="000000"/>
              <w:right w:val="single" w:sz="4" w:space="0" w:color="auto"/>
            </w:tcBorders>
            <w:vAlign w:val="center"/>
            <w:hideMark/>
          </w:tcPr>
          <w:p w14:paraId="63E98E31"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6AF3BBEE" w14:textId="77777777" w:rsidTr="00DE7904">
        <w:trPr>
          <w:trHeight w:val="62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46CBE426"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15-29 ml/min</w:t>
            </w:r>
          </w:p>
        </w:tc>
        <w:tc>
          <w:tcPr>
            <w:tcW w:w="1780" w:type="dxa"/>
            <w:tcBorders>
              <w:top w:val="nil"/>
              <w:left w:val="nil"/>
              <w:bottom w:val="single" w:sz="4" w:space="0" w:color="auto"/>
              <w:right w:val="single" w:sz="4" w:space="0" w:color="auto"/>
            </w:tcBorders>
            <w:shd w:val="clear" w:color="auto" w:fill="auto"/>
            <w:vAlign w:val="bottom"/>
            <w:hideMark/>
          </w:tcPr>
          <w:p w14:paraId="16FC6D5C"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840" w:type="dxa"/>
            <w:tcBorders>
              <w:top w:val="nil"/>
              <w:left w:val="nil"/>
              <w:bottom w:val="single" w:sz="4" w:space="0" w:color="auto"/>
              <w:right w:val="single" w:sz="4" w:space="0" w:color="auto"/>
            </w:tcBorders>
            <w:shd w:val="clear" w:color="auto" w:fill="auto"/>
            <w:vAlign w:val="bottom"/>
            <w:hideMark/>
          </w:tcPr>
          <w:p w14:paraId="6CFC16F2"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indikohet</w:t>
            </w:r>
          </w:p>
        </w:tc>
        <w:tc>
          <w:tcPr>
            <w:tcW w:w="1500" w:type="dxa"/>
            <w:tcBorders>
              <w:top w:val="nil"/>
              <w:left w:val="nil"/>
              <w:bottom w:val="single" w:sz="4" w:space="0" w:color="auto"/>
              <w:right w:val="single" w:sz="4" w:space="0" w:color="auto"/>
            </w:tcBorders>
            <w:shd w:val="clear" w:color="000000" w:fill="0099FF"/>
            <w:vAlign w:val="center"/>
            <w:hideMark/>
          </w:tcPr>
          <w:p w14:paraId="1E09286B"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≥36 h</w:t>
            </w:r>
          </w:p>
        </w:tc>
        <w:tc>
          <w:tcPr>
            <w:tcW w:w="2180" w:type="dxa"/>
            <w:vMerge/>
            <w:tcBorders>
              <w:top w:val="nil"/>
              <w:left w:val="single" w:sz="4" w:space="0" w:color="auto"/>
              <w:bottom w:val="single" w:sz="4" w:space="0" w:color="000000"/>
              <w:right w:val="single" w:sz="4" w:space="0" w:color="auto"/>
            </w:tcBorders>
            <w:vAlign w:val="center"/>
            <w:hideMark/>
          </w:tcPr>
          <w:p w14:paraId="606056ED" w14:textId="77777777" w:rsidR="009E1860" w:rsidRPr="00B318DF" w:rsidRDefault="009E1860" w:rsidP="00DE7904">
            <w:pPr>
              <w:spacing w:after="0" w:line="240" w:lineRule="auto"/>
              <w:rPr>
                <w:rFonts w:ascii="Calibri" w:eastAsia="Times New Roman" w:hAnsi="Calibri" w:cs="Calibri"/>
                <w:b/>
                <w:bCs/>
                <w:color w:val="000000"/>
                <w:sz w:val="24"/>
                <w:szCs w:val="24"/>
              </w:rPr>
            </w:pPr>
          </w:p>
        </w:tc>
      </w:tr>
      <w:tr w:rsidR="009E1860" w:rsidRPr="00B318DF" w14:paraId="05DF6DBE" w14:textId="77777777" w:rsidTr="00DE7904">
        <w:trPr>
          <w:trHeight w:val="310"/>
        </w:trPr>
        <w:tc>
          <w:tcPr>
            <w:tcW w:w="1920" w:type="dxa"/>
            <w:tcBorders>
              <w:top w:val="nil"/>
              <w:left w:val="single" w:sz="4" w:space="0" w:color="auto"/>
              <w:bottom w:val="single" w:sz="4" w:space="0" w:color="auto"/>
              <w:right w:val="single" w:sz="4" w:space="0" w:color="auto"/>
            </w:tcBorders>
            <w:shd w:val="clear" w:color="auto" w:fill="auto"/>
            <w:vAlign w:val="bottom"/>
            <w:hideMark/>
          </w:tcPr>
          <w:p w14:paraId="237D80A4" w14:textId="77777777" w:rsidR="009E1860" w:rsidRPr="00B318DF" w:rsidRDefault="009E1860" w:rsidP="00DE7904">
            <w:pPr>
              <w:spacing w:after="0" w:line="240" w:lineRule="auto"/>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CrCl &lt; ml/min</w:t>
            </w:r>
          </w:p>
        </w:tc>
        <w:tc>
          <w:tcPr>
            <w:tcW w:w="7300" w:type="dxa"/>
            <w:gridSpan w:val="4"/>
            <w:tcBorders>
              <w:top w:val="single" w:sz="4" w:space="0" w:color="auto"/>
              <w:left w:val="nil"/>
              <w:bottom w:val="single" w:sz="4" w:space="0" w:color="auto"/>
              <w:right w:val="single" w:sz="4" w:space="0" w:color="000000"/>
            </w:tcBorders>
            <w:shd w:val="clear" w:color="000000" w:fill="E7E6E6"/>
            <w:vAlign w:val="bottom"/>
            <w:hideMark/>
          </w:tcPr>
          <w:p w14:paraId="20BCCBB4" w14:textId="77777777" w:rsidR="009E1860" w:rsidRPr="00B318DF" w:rsidRDefault="009E1860" w:rsidP="00DE7904">
            <w:pPr>
              <w:spacing w:after="0" w:line="240" w:lineRule="auto"/>
              <w:jc w:val="center"/>
              <w:rPr>
                <w:rFonts w:ascii="Calibri" w:eastAsia="Times New Roman" w:hAnsi="Calibri" w:cs="Calibri"/>
                <w:b/>
                <w:bCs/>
                <w:color w:val="000000"/>
                <w:sz w:val="24"/>
                <w:szCs w:val="24"/>
              </w:rPr>
            </w:pPr>
            <w:r w:rsidRPr="00B318DF">
              <w:rPr>
                <w:rFonts w:ascii="Calibri" w:eastAsia="Times New Roman" w:hAnsi="Calibri" w:cs="Calibri"/>
                <w:b/>
                <w:bCs/>
                <w:color w:val="000000"/>
                <w:sz w:val="24"/>
                <w:szCs w:val="24"/>
              </w:rPr>
              <w:t>Nuk ka indikacion zyrtar p</w:t>
            </w:r>
            <w:r>
              <w:rPr>
                <w:rFonts w:ascii="Calibri" w:eastAsia="Times New Roman" w:hAnsi="Calibri" w:cs="Calibri"/>
                <w:b/>
                <w:bCs/>
                <w:color w:val="000000"/>
                <w:sz w:val="24"/>
                <w:szCs w:val="24"/>
              </w:rPr>
              <w:t>ë</w:t>
            </w:r>
            <w:r w:rsidRPr="00B318DF">
              <w:rPr>
                <w:rFonts w:ascii="Calibri" w:eastAsia="Times New Roman" w:hAnsi="Calibri" w:cs="Calibri"/>
                <w:b/>
                <w:bCs/>
                <w:color w:val="000000"/>
                <w:sz w:val="24"/>
                <w:szCs w:val="24"/>
              </w:rPr>
              <w:t>r perdorim</w:t>
            </w:r>
          </w:p>
        </w:tc>
      </w:tr>
    </w:tbl>
    <w:p w14:paraId="6781D216" w14:textId="77777777" w:rsidR="009E1860" w:rsidRDefault="009E1860" w:rsidP="009E1860">
      <w:pPr>
        <w:rPr>
          <w:b/>
          <w:bCs/>
          <w:sz w:val="24"/>
          <w:szCs w:val="24"/>
          <w:u w:val="single"/>
        </w:rPr>
      </w:pPr>
    </w:p>
    <w:p w14:paraId="7A657B71" w14:textId="77777777" w:rsidR="009E1860" w:rsidRDefault="009E1860" w:rsidP="009E1860">
      <w:pPr>
        <w:ind w:left="2880" w:firstLine="720"/>
        <w:rPr>
          <w:b/>
          <w:bCs/>
          <w:sz w:val="24"/>
          <w:szCs w:val="24"/>
          <w:u w:val="single"/>
        </w:rPr>
      </w:pPr>
      <w:r w:rsidRPr="00B318DF">
        <w:rPr>
          <w:b/>
          <w:bCs/>
          <w:sz w:val="24"/>
          <w:szCs w:val="24"/>
          <w:u w:val="single"/>
        </w:rPr>
        <w:t>E r</w:t>
      </w:r>
      <w:r>
        <w:rPr>
          <w:b/>
          <w:bCs/>
          <w:sz w:val="24"/>
          <w:szCs w:val="24"/>
          <w:u w:val="single"/>
        </w:rPr>
        <w:t>ë</w:t>
      </w:r>
      <w:r w:rsidRPr="00B318DF">
        <w:rPr>
          <w:b/>
          <w:bCs/>
          <w:sz w:val="24"/>
          <w:szCs w:val="24"/>
          <w:u w:val="single"/>
        </w:rPr>
        <w:t>nd</w:t>
      </w:r>
      <w:r>
        <w:rPr>
          <w:b/>
          <w:bCs/>
          <w:sz w:val="24"/>
          <w:szCs w:val="24"/>
          <w:u w:val="single"/>
        </w:rPr>
        <w:t>ë</w:t>
      </w:r>
      <w:r w:rsidRPr="00B318DF">
        <w:rPr>
          <w:b/>
          <w:bCs/>
          <w:sz w:val="24"/>
          <w:szCs w:val="24"/>
          <w:u w:val="single"/>
        </w:rPr>
        <w:t>sishme</w:t>
      </w:r>
      <w:r>
        <w:rPr>
          <w:b/>
          <w:bCs/>
          <w:sz w:val="24"/>
          <w:szCs w:val="24"/>
          <w:u w:val="single"/>
        </w:rPr>
        <w:t>:</w:t>
      </w:r>
    </w:p>
    <w:p w14:paraId="223D9C02" w14:textId="77777777" w:rsidR="009E1860" w:rsidRDefault="009E1860" w:rsidP="009E1860">
      <w:pPr>
        <w:ind w:left="2880" w:firstLine="720"/>
        <w:rPr>
          <w:b/>
          <w:bCs/>
          <w:sz w:val="24"/>
          <w:szCs w:val="24"/>
          <w:u w:val="single"/>
        </w:rPr>
      </w:pPr>
      <w:r>
        <w:rPr>
          <w:b/>
          <w:bCs/>
          <w:noProof/>
          <w:sz w:val="24"/>
          <w:szCs w:val="24"/>
          <w:u w:val="single"/>
        </w:rPr>
        <mc:AlternateContent>
          <mc:Choice Requires="wps">
            <w:drawing>
              <wp:anchor distT="0" distB="0" distL="114300" distR="114300" simplePos="0" relativeHeight="251660288" behindDoc="0" locked="0" layoutInCell="1" allowOverlap="1" wp14:anchorId="53FA6627" wp14:editId="482DBB10">
                <wp:simplePos x="0" y="0"/>
                <wp:positionH relativeFrom="margin">
                  <wp:posOffset>-57150</wp:posOffset>
                </wp:positionH>
                <wp:positionV relativeFrom="paragraph">
                  <wp:posOffset>227965</wp:posOffset>
                </wp:positionV>
                <wp:extent cx="5899150" cy="1835150"/>
                <wp:effectExtent l="0" t="0" r="25400" b="12700"/>
                <wp:wrapNone/>
                <wp:docPr id="27" name="Rectangle 27"/>
                <wp:cNvGraphicFramePr/>
                <a:graphic xmlns:a="http://schemas.openxmlformats.org/drawingml/2006/main">
                  <a:graphicData uri="http://schemas.microsoft.com/office/word/2010/wordprocessingShape">
                    <wps:wsp>
                      <wps:cNvSpPr/>
                      <wps:spPr>
                        <a:xfrm>
                          <a:off x="0" y="0"/>
                          <a:ext cx="5899150" cy="1835150"/>
                        </a:xfrm>
                        <a:prstGeom prst="rect">
                          <a:avLst/>
                        </a:prstGeom>
                        <a:solidFill>
                          <a:srgbClr val="E32D91"/>
                        </a:solidFill>
                        <a:ln w="12700" cap="flat" cmpd="sng" algn="ctr">
                          <a:solidFill>
                            <a:srgbClr val="E32D91">
                              <a:shade val="50000"/>
                            </a:srgbClr>
                          </a:solidFill>
                          <a:prstDash val="solid"/>
                          <a:miter lim="800000"/>
                        </a:ln>
                        <a:effectLst/>
                      </wps:spPr>
                      <wps:txbx>
                        <w:txbxContent>
                          <w:p w14:paraId="0A490A66" w14:textId="77777777" w:rsidR="009E1860" w:rsidRDefault="009E1860" w:rsidP="009E1860">
                            <w:pPr>
                              <w:ind w:left="720" w:hanging="360"/>
                            </w:pPr>
                          </w:p>
                          <w:p w14:paraId="2F20A8DF" w14:textId="77777777" w:rsidR="009E1860" w:rsidRPr="00B318DF" w:rsidRDefault="009E1860" w:rsidP="009E1860">
                            <w:pPr>
                              <w:pStyle w:val="Listenabsatz"/>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enabsatz"/>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enabsatz"/>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53FA6627" id="Rectangle 27" o:spid="_x0000_s1027" style="position:absolute;left:0;text-align:left;margin-left:-4.5pt;margin-top:17.95pt;width:464.5pt;height:144.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" fillcolor="#e32d91" strokecolor="#a71e69" strokeweight="1pt">
                <v:textbox>
                  <w:txbxContent>
                    <w:p w14:paraId="0A490A66" w14:textId="77777777" w:rsidR="009E1860" w:rsidRDefault="009E1860" w:rsidP="009E1860">
                      <w:pPr>
                        <w:ind w:left="720" w:hanging="360"/>
                      </w:pPr>
                    </w:p>
                    <w:p w14:paraId="2F20A8DF" w14:textId="77777777" w:rsidR="009E1860" w:rsidRPr="00B318DF" w:rsidRDefault="009E1860" w:rsidP="009E1860">
                      <w:pPr>
                        <w:pStyle w:val="ListParagraph"/>
                        <w:numPr>
                          <w:ilvl w:val="0"/>
                          <w:numId w:val="44"/>
                        </w:numPr>
                        <w:rPr>
                          <w:sz w:val="24"/>
                          <w:szCs w:val="24"/>
                        </w:rPr>
                      </w:pPr>
                      <w:r w:rsidRPr="00B318DF">
                        <w:rPr>
                          <w:sz w:val="24"/>
                          <w:szCs w:val="24"/>
                        </w:rPr>
                        <w:t>Koha e nd</w:t>
                      </w:r>
                      <w:r>
                        <w:rPr>
                          <w:sz w:val="24"/>
                          <w:szCs w:val="24"/>
                        </w:rPr>
                        <w:t>ë</w:t>
                      </w:r>
                      <w:r w:rsidRPr="00B318DF">
                        <w:rPr>
                          <w:sz w:val="24"/>
                          <w:szCs w:val="24"/>
                        </w:rPr>
                        <w:t>rprerjes mund t</w:t>
                      </w:r>
                      <w:r>
                        <w:rPr>
                          <w:sz w:val="24"/>
                          <w:szCs w:val="24"/>
                        </w:rPr>
                        <w:t>ë</w:t>
                      </w:r>
                      <w:r w:rsidRPr="00B318DF">
                        <w:rPr>
                          <w:sz w:val="24"/>
                          <w:szCs w:val="24"/>
                        </w:rPr>
                        <w:t xml:space="preserve"> k</w:t>
                      </w:r>
                      <w:r>
                        <w:rPr>
                          <w:sz w:val="24"/>
                          <w:szCs w:val="24"/>
                        </w:rPr>
                        <w:t>ë</w:t>
                      </w:r>
                      <w:r w:rsidRPr="00B318DF">
                        <w:rPr>
                          <w:sz w:val="24"/>
                          <w:szCs w:val="24"/>
                        </w:rPr>
                        <w:t>rkoj</w:t>
                      </w:r>
                      <w:r>
                        <w:rPr>
                          <w:sz w:val="24"/>
                          <w:szCs w:val="24"/>
                        </w:rPr>
                        <w:t>ë</w:t>
                      </w:r>
                      <w:r w:rsidRPr="00B318DF">
                        <w:rPr>
                          <w:sz w:val="24"/>
                          <w:szCs w:val="24"/>
                        </w:rPr>
                        <w:t xml:space="preserve"> p</w:t>
                      </w:r>
                      <w:r>
                        <w:rPr>
                          <w:sz w:val="24"/>
                          <w:szCs w:val="24"/>
                        </w:rPr>
                        <w:t>ë</w:t>
                      </w:r>
                      <w:r w:rsidRPr="00B318DF">
                        <w:rPr>
                          <w:sz w:val="24"/>
                          <w:szCs w:val="24"/>
                        </w:rPr>
                        <w:t>rshtatje sipas karaktersitikave individuale t</w:t>
                      </w:r>
                      <w:r>
                        <w:rPr>
                          <w:sz w:val="24"/>
                          <w:szCs w:val="24"/>
                        </w:rPr>
                        <w:t>ë</w:t>
                      </w:r>
                      <w:r w:rsidRPr="00B318DF">
                        <w:rPr>
                          <w:sz w:val="24"/>
                          <w:szCs w:val="24"/>
                        </w:rPr>
                        <w:t xml:space="preserve"> pacientit (Fig. 1)</w:t>
                      </w:r>
                    </w:p>
                    <w:p w14:paraId="12FB473C" w14:textId="77777777" w:rsidR="009E1860" w:rsidRPr="00B318DF" w:rsidRDefault="009E1860" w:rsidP="009E1860">
                      <w:pPr>
                        <w:pStyle w:val="ListParagraph"/>
                        <w:numPr>
                          <w:ilvl w:val="0"/>
                          <w:numId w:val="44"/>
                        </w:numPr>
                        <w:rPr>
                          <w:sz w:val="24"/>
                          <w:szCs w:val="24"/>
                        </w:rPr>
                      </w:pPr>
                      <w:r w:rsidRPr="00B318DF">
                        <w:rPr>
                          <w:sz w:val="24"/>
                          <w:szCs w:val="24"/>
                        </w:rPr>
                        <w:t>N</w:t>
                      </w:r>
                      <w:r>
                        <w:rPr>
                          <w:sz w:val="24"/>
                          <w:szCs w:val="24"/>
                        </w:rPr>
                        <w:t>ë</w:t>
                      </w:r>
                      <w:r w:rsidRPr="00B318DF">
                        <w:rPr>
                          <w:sz w:val="24"/>
                          <w:szCs w:val="24"/>
                        </w:rPr>
                        <w:t xml:space="preserve"> pacient</w:t>
                      </w:r>
                      <w:r>
                        <w:rPr>
                          <w:sz w:val="24"/>
                          <w:szCs w:val="24"/>
                        </w:rPr>
                        <w:t>ë</w:t>
                      </w:r>
                      <w:r w:rsidRPr="00B318DF">
                        <w:rPr>
                          <w:sz w:val="24"/>
                          <w:szCs w:val="24"/>
                        </w:rPr>
                        <w:t>t apo situatat q</w:t>
                      </w:r>
                      <w:r>
                        <w:rPr>
                          <w:sz w:val="24"/>
                          <w:szCs w:val="24"/>
                        </w:rPr>
                        <w:t>ë</w:t>
                      </w:r>
                      <w:r w:rsidRPr="00B318DF">
                        <w:rPr>
                          <w:sz w:val="24"/>
                          <w:szCs w:val="24"/>
                        </w:rPr>
                        <w:t xml:space="preserve"> kan</w:t>
                      </w:r>
                      <w:r>
                        <w:rPr>
                          <w:sz w:val="24"/>
                          <w:szCs w:val="24"/>
                        </w:rPr>
                        <w:t>ë</w:t>
                      </w:r>
                      <w:r w:rsidRPr="00B318DF">
                        <w:rPr>
                          <w:sz w:val="24"/>
                          <w:szCs w:val="24"/>
                        </w:rPr>
                        <w:t xml:space="preserve"> rrezik p</w:t>
                      </w:r>
                      <w:r>
                        <w:rPr>
                          <w:sz w:val="24"/>
                          <w:szCs w:val="24"/>
                        </w:rPr>
                        <w:t>ë</w:t>
                      </w:r>
                      <w:r w:rsidRPr="00B318DF">
                        <w:rPr>
                          <w:sz w:val="24"/>
                          <w:szCs w:val="24"/>
                        </w:rPr>
                        <w:t>r akumulim t</w:t>
                      </w:r>
                      <w:r>
                        <w:rPr>
                          <w:sz w:val="24"/>
                          <w:szCs w:val="24"/>
                        </w:rPr>
                        <w:t>ë</w:t>
                      </w:r>
                      <w:r w:rsidRPr="00B318DF">
                        <w:rPr>
                          <w:sz w:val="24"/>
                          <w:szCs w:val="24"/>
                        </w:rPr>
                        <w:t xml:space="preserve"> NOAC-</w:t>
                      </w:r>
                      <w:r>
                        <w:rPr>
                          <w:sz w:val="24"/>
                          <w:szCs w:val="24"/>
                        </w:rPr>
                        <w:t>ë</w:t>
                      </w:r>
                      <w:r w:rsidRPr="00B318DF">
                        <w:rPr>
                          <w:sz w:val="24"/>
                          <w:szCs w:val="24"/>
                        </w:rPr>
                        <w:t>ve (pamjaftueshm</w:t>
                      </w:r>
                      <w:r>
                        <w:rPr>
                          <w:sz w:val="24"/>
                          <w:szCs w:val="24"/>
                        </w:rPr>
                        <w:t>ë</w:t>
                      </w:r>
                      <w:r w:rsidRPr="00B318DF">
                        <w:rPr>
                          <w:sz w:val="24"/>
                          <w:szCs w:val="24"/>
                        </w:rPr>
                        <w:t>ri renale, mosh</w:t>
                      </w:r>
                      <w:r>
                        <w:rPr>
                          <w:sz w:val="24"/>
                          <w:szCs w:val="24"/>
                        </w:rPr>
                        <w:t>ë</w:t>
                      </w:r>
                      <w:r w:rsidRPr="00B318DF">
                        <w:rPr>
                          <w:sz w:val="24"/>
                          <w:szCs w:val="24"/>
                        </w:rPr>
                        <w:t xml:space="preserve"> e madhe, barna bashk</w:t>
                      </w:r>
                      <w:r>
                        <w:rPr>
                          <w:sz w:val="24"/>
                          <w:szCs w:val="24"/>
                        </w:rPr>
                        <w:t>ë</w:t>
                      </w:r>
                      <w:r w:rsidRPr="00B318DF">
                        <w:rPr>
                          <w:sz w:val="24"/>
                          <w:szCs w:val="24"/>
                        </w:rPr>
                        <w:t>-shoq</w:t>
                      </w:r>
                      <w:r>
                        <w:rPr>
                          <w:sz w:val="24"/>
                          <w:szCs w:val="24"/>
                        </w:rPr>
                        <w:t>ë</w:t>
                      </w:r>
                      <w:r w:rsidRPr="00B318DF">
                        <w:rPr>
                          <w:sz w:val="24"/>
                          <w:szCs w:val="24"/>
                        </w:rPr>
                        <w:t>ruese) mund t</w:t>
                      </w:r>
                      <w:r>
                        <w:rPr>
                          <w:sz w:val="24"/>
                          <w:szCs w:val="24"/>
                        </w:rPr>
                        <w:t>ë</w:t>
                      </w:r>
                      <w:r w:rsidRPr="00B318DF">
                        <w:rPr>
                          <w:sz w:val="24"/>
                          <w:szCs w:val="24"/>
                        </w:rPr>
                        <w:t xml:space="preserve"> merret n</w:t>
                      </w:r>
                      <w:r>
                        <w:rPr>
                          <w:sz w:val="24"/>
                          <w:szCs w:val="24"/>
                        </w:rPr>
                        <w:t>ë</w:t>
                      </w:r>
                      <w:r w:rsidRPr="00B318DF">
                        <w:rPr>
                          <w:sz w:val="24"/>
                          <w:szCs w:val="24"/>
                        </w:rPr>
                        <w:t xml:space="preserve"> konsiderat</w:t>
                      </w:r>
                      <w:r>
                        <w:rPr>
                          <w:sz w:val="24"/>
                          <w:szCs w:val="24"/>
                        </w:rPr>
                        <w:t>ë</w:t>
                      </w:r>
                      <w:r w:rsidRPr="00B318DF">
                        <w:rPr>
                          <w:sz w:val="24"/>
                          <w:szCs w:val="24"/>
                        </w:rPr>
                        <w:t xml:space="preserve"> nd</w:t>
                      </w:r>
                      <w:r>
                        <w:rPr>
                          <w:sz w:val="24"/>
                          <w:szCs w:val="24"/>
                        </w:rPr>
                        <w:t>ë</w:t>
                      </w:r>
                      <w:r w:rsidRPr="00B318DF">
                        <w:rPr>
                          <w:sz w:val="24"/>
                          <w:szCs w:val="24"/>
                        </w:rPr>
                        <w:t>rprerja e NOAC 12-24 or</w:t>
                      </w:r>
                      <w:r>
                        <w:rPr>
                          <w:sz w:val="24"/>
                          <w:szCs w:val="24"/>
                        </w:rPr>
                        <w:t>ë</w:t>
                      </w:r>
                      <w:r w:rsidRPr="00B318DF">
                        <w:rPr>
                          <w:sz w:val="24"/>
                          <w:szCs w:val="24"/>
                        </w:rPr>
                        <w:t xml:space="preserve"> m</w:t>
                      </w:r>
                      <w:r>
                        <w:rPr>
                          <w:sz w:val="24"/>
                          <w:szCs w:val="24"/>
                        </w:rPr>
                        <w:t>ë</w:t>
                      </w:r>
                      <w:r w:rsidRPr="00B318DF">
                        <w:rPr>
                          <w:sz w:val="24"/>
                          <w:szCs w:val="24"/>
                        </w:rPr>
                        <w:t xml:space="preserve"> her</w:t>
                      </w:r>
                      <w:r>
                        <w:rPr>
                          <w:sz w:val="24"/>
                          <w:szCs w:val="24"/>
                        </w:rPr>
                        <w:t>ë</w:t>
                      </w:r>
                      <w:r w:rsidRPr="00B318DF">
                        <w:rPr>
                          <w:sz w:val="24"/>
                          <w:szCs w:val="24"/>
                        </w:rPr>
                        <w:t>t.</w:t>
                      </w:r>
                      <w:r w:rsidRPr="00B318DF">
                        <w:rPr>
                          <w:sz w:val="24"/>
                          <w:szCs w:val="24"/>
                          <w:vertAlign w:val="superscript"/>
                        </w:rPr>
                        <w:t>207,208</w:t>
                      </w:r>
                    </w:p>
                    <w:p w14:paraId="4CE88291" w14:textId="77777777" w:rsidR="009E1860" w:rsidRPr="00B318DF" w:rsidRDefault="009E1860" w:rsidP="009E1860">
                      <w:pPr>
                        <w:pStyle w:val="ListParagraph"/>
                        <w:numPr>
                          <w:ilvl w:val="0"/>
                          <w:numId w:val="44"/>
                        </w:numPr>
                        <w:rPr>
                          <w:sz w:val="24"/>
                          <w:szCs w:val="24"/>
                        </w:rPr>
                      </w:pPr>
                      <w:r w:rsidRPr="00B318DF">
                        <w:rPr>
                          <w:sz w:val="24"/>
                          <w:szCs w:val="24"/>
                        </w:rPr>
                        <w:t>Rifillo doz</w:t>
                      </w:r>
                      <w:r>
                        <w:rPr>
                          <w:sz w:val="24"/>
                          <w:szCs w:val="24"/>
                        </w:rPr>
                        <w:t>ë</w:t>
                      </w:r>
                      <w:r w:rsidRPr="00B318DF">
                        <w:rPr>
                          <w:sz w:val="24"/>
                          <w:szCs w:val="24"/>
                        </w:rPr>
                        <w:t>n e plot</w:t>
                      </w:r>
                      <w:r>
                        <w:rPr>
                          <w:sz w:val="24"/>
                          <w:szCs w:val="24"/>
                        </w:rPr>
                        <w:t>ë</w:t>
                      </w:r>
                      <w:r w:rsidRPr="00B318DF">
                        <w:rPr>
                          <w:sz w:val="24"/>
                          <w:szCs w:val="24"/>
                        </w:rPr>
                        <w:t xml:space="preserve"> t</w:t>
                      </w:r>
                      <w:r>
                        <w:rPr>
                          <w:sz w:val="24"/>
                          <w:szCs w:val="24"/>
                        </w:rPr>
                        <w:t>ë</w:t>
                      </w:r>
                      <w:r w:rsidRPr="00B318DF">
                        <w:rPr>
                          <w:sz w:val="24"/>
                          <w:szCs w:val="24"/>
                        </w:rPr>
                        <w:t xml:space="preserve"> </w:t>
                      </w:r>
                      <w:r>
                        <w:rPr>
                          <w:sz w:val="24"/>
                          <w:szCs w:val="24"/>
                        </w:rPr>
                        <w:t>N</w:t>
                      </w:r>
                      <w:r w:rsidRPr="00B318DF">
                        <w:rPr>
                          <w:sz w:val="24"/>
                          <w:szCs w:val="24"/>
                        </w:rPr>
                        <w:t>OAC-</w:t>
                      </w:r>
                      <w:r>
                        <w:rPr>
                          <w:sz w:val="24"/>
                          <w:szCs w:val="24"/>
                        </w:rPr>
                        <w:t>ë</w:t>
                      </w:r>
                      <w:r w:rsidRPr="00B318DF">
                        <w:rPr>
                          <w:sz w:val="24"/>
                          <w:szCs w:val="24"/>
                        </w:rPr>
                        <w:t>ve 24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ul</w:t>
                      </w:r>
                      <w:r>
                        <w:rPr>
                          <w:sz w:val="24"/>
                          <w:szCs w:val="24"/>
                        </w:rPr>
                        <w:t>ë</w:t>
                      </w:r>
                      <w:r w:rsidRPr="00B318DF">
                        <w:rPr>
                          <w:sz w:val="24"/>
                          <w:szCs w:val="24"/>
                        </w:rPr>
                        <w:t>t dhe 48 (-72) or</w:t>
                      </w:r>
                      <w:r>
                        <w:rPr>
                          <w:sz w:val="24"/>
                          <w:szCs w:val="24"/>
                        </w:rPr>
                        <w:t>ë</w:t>
                      </w:r>
                      <w:r w:rsidRPr="00B318DF">
                        <w:rPr>
                          <w:sz w:val="24"/>
                          <w:szCs w:val="24"/>
                        </w:rPr>
                        <w:t xml:space="preserve"> pas procedurave me risk t</w:t>
                      </w:r>
                      <w:r>
                        <w:rPr>
                          <w:sz w:val="24"/>
                          <w:szCs w:val="24"/>
                        </w:rPr>
                        <w:t>ë</w:t>
                      </w:r>
                      <w:r w:rsidRPr="00B318DF">
                        <w:rPr>
                          <w:sz w:val="24"/>
                          <w:szCs w:val="24"/>
                        </w:rPr>
                        <w:t xml:space="preserve"> lart</w:t>
                      </w:r>
                      <w:r>
                        <w:rPr>
                          <w:sz w:val="24"/>
                          <w:szCs w:val="24"/>
                        </w:rPr>
                        <w:t>ë</w:t>
                      </w:r>
                      <w:r w:rsidRPr="00B318DF">
                        <w:rPr>
                          <w:sz w:val="24"/>
                          <w:szCs w:val="24"/>
                        </w:rPr>
                        <w:t>.</w:t>
                      </w:r>
                    </w:p>
                    <w:p w14:paraId="0EE5D03E" w14:textId="77777777" w:rsidR="009E1860" w:rsidRDefault="009E1860" w:rsidP="009E1860">
                      <w:pPr>
                        <w:rPr>
                          <w:sz w:val="24"/>
                          <w:szCs w:val="24"/>
                        </w:rPr>
                      </w:pPr>
                    </w:p>
                    <w:p w14:paraId="21728CA7" w14:textId="77777777" w:rsidR="009E1860" w:rsidRDefault="009E1860" w:rsidP="009E1860">
                      <w:pPr>
                        <w:jc w:val="center"/>
                      </w:pPr>
                    </w:p>
                    <w:p w14:paraId="428AAA00" w14:textId="77777777" w:rsidR="009E1860" w:rsidRDefault="009E1860" w:rsidP="009E1860">
                      <w:pPr>
                        <w:jc w:val="center"/>
                      </w:pPr>
                    </w:p>
                  </w:txbxContent>
                </v:textbox>
                <w10:wrap anchorx="margin"/>
              </v:rect>
            </w:pict>
          </mc:Fallback>
        </mc:AlternateContent>
      </w:r>
    </w:p>
    <w:p w14:paraId="3096B93E" w14:textId="77777777" w:rsidR="009E1860" w:rsidRDefault="009E1860" w:rsidP="009E1860">
      <w:pPr>
        <w:ind w:left="2880" w:firstLine="720"/>
        <w:rPr>
          <w:b/>
          <w:bCs/>
          <w:sz w:val="24"/>
          <w:szCs w:val="24"/>
          <w:u w:val="single"/>
        </w:rPr>
      </w:pPr>
    </w:p>
    <w:p w14:paraId="214D4210" w14:textId="77777777" w:rsidR="009E1860" w:rsidRDefault="009E1860" w:rsidP="009E1860">
      <w:pPr>
        <w:ind w:left="2880" w:firstLine="720"/>
        <w:jc w:val="both"/>
        <w:rPr>
          <w:b/>
          <w:bCs/>
          <w:sz w:val="24"/>
          <w:szCs w:val="24"/>
          <w:u w:val="single"/>
        </w:rPr>
      </w:pPr>
    </w:p>
    <w:p w14:paraId="2BEC1EAE" w14:textId="77777777" w:rsidR="009E1860" w:rsidRDefault="009E1860" w:rsidP="009E1860">
      <w:pPr>
        <w:ind w:left="2880" w:firstLine="720"/>
        <w:jc w:val="both"/>
        <w:rPr>
          <w:b/>
          <w:bCs/>
          <w:sz w:val="24"/>
          <w:szCs w:val="24"/>
          <w:u w:val="single"/>
        </w:rPr>
      </w:pPr>
    </w:p>
    <w:p w14:paraId="1C61BBE6" w14:textId="77777777" w:rsidR="009E1860" w:rsidRDefault="009E1860" w:rsidP="009E1860">
      <w:pPr>
        <w:ind w:left="2880" w:firstLine="720"/>
        <w:jc w:val="both"/>
        <w:rPr>
          <w:b/>
          <w:bCs/>
          <w:sz w:val="24"/>
          <w:szCs w:val="24"/>
          <w:u w:val="single"/>
        </w:rPr>
      </w:pPr>
    </w:p>
    <w:p w14:paraId="6C72335B" w14:textId="77777777" w:rsidR="009E1860" w:rsidRDefault="009E1860" w:rsidP="009E1860">
      <w:pPr>
        <w:ind w:left="2880" w:firstLine="720"/>
        <w:jc w:val="both"/>
        <w:rPr>
          <w:b/>
          <w:bCs/>
          <w:sz w:val="24"/>
          <w:szCs w:val="24"/>
          <w:u w:val="single"/>
        </w:rPr>
      </w:pPr>
    </w:p>
    <w:p w14:paraId="74290ADD" w14:textId="77777777" w:rsidR="009E1860" w:rsidRDefault="009E1860" w:rsidP="009E1860">
      <w:pPr>
        <w:rPr>
          <w:sz w:val="24"/>
          <w:szCs w:val="24"/>
        </w:rPr>
      </w:pPr>
    </w:p>
    <w:p w14:paraId="6592B432" w14:textId="77777777" w:rsidR="009E1860" w:rsidRDefault="009E1860" w:rsidP="009E1860">
      <w:pPr>
        <w:rPr>
          <w:sz w:val="24"/>
          <w:szCs w:val="24"/>
        </w:rPr>
      </w:pPr>
    </w:p>
    <w:p w14:paraId="4817E25E" w14:textId="77777777" w:rsidR="009E1860" w:rsidRDefault="009E1860" w:rsidP="009E1860">
      <w:pPr>
        <w:rPr>
          <w:sz w:val="24"/>
          <w:szCs w:val="24"/>
        </w:rPr>
      </w:pPr>
    </w:p>
    <w:p w14:paraId="575401D2" w14:textId="77777777" w:rsidR="009E1860" w:rsidRDefault="009E1860" w:rsidP="009E1860">
      <w:pPr>
        <w:rPr>
          <w:sz w:val="24"/>
          <w:szCs w:val="24"/>
        </w:rPr>
      </w:pPr>
    </w:p>
    <w:p w14:paraId="4CD6AEAE" w14:textId="77777777" w:rsidR="009E1860" w:rsidRDefault="009E1860" w:rsidP="009E1860">
      <w:pPr>
        <w:rPr>
          <w:b/>
          <w:bCs/>
          <w:sz w:val="24"/>
          <w:szCs w:val="24"/>
        </w:rPr>
      </w:pPr>
    </w:p>
    <w:p w14:paraId="62F8176F" w14:textId="77777777" w:rsidR="009E1860" w:rsidRDefault="009E1860" w:rsidP="009E1860">
      <w:pPr>
        <w:rPr>
          <w:b/>
          <w:bCs/>
          <w:sz w:val="24"/>
          <w:szCs w:val="24"/>
        </w:rPr>
      </w:pPr>
    </w:p>
    <w:p w14:paraId="62A7EF70" w14:textId="77777777" w:rsidR="009E1860" w:rsidRDefault="009E1860" w:rsidP="009E1860">
      <w:pPr>
        <w:rPr>
          <w:b/>
          <w:bCs/>
          <w:sz w:val="24"/>
          <w:szCs w:val="24"/>
        </w:rPr>
      </w:pPr>
      <w:r w:rsidRPr="00446D0E">
        <w:rPr>
          <w:b/>
          <w:bCs/>
          <w:sz w:val="24"/>
          <w:szCs w:val="24"/>
        </w:rPr>
        <w:t>Figura 3: Nd</w:t>
      </w:r>
      <w:r>
        <w:rPr>
          <w:b/>
          <w:bCs/>
          <w:sz w:val="24"/>
          <w:szCs w:val="24"/>
        </w:rPr>
        <w:t>ë</w:t>
      </w:r>
      <w:r w:rsidRPr="00446D0E">
        <w:rPr>
          <w:b/>
          <w:bCs/>
          <w:sz w:val="24"/>
          <w:szCs w:val="24"/>
        </w:rPr>
        <w:t xml:space="preserve">rprerja dhe rifillimi i terapisë </w:t>
      </w:r>
      <w:r>
        <w:rPr>
          <w:b/>
          <w:bCs/>
          <w:sz w:val="24"/>
          <w:szCs w:val="24"/>
        </w:rPr>
        <w:t xml:space="preserve">me </w:t>
      </w:r>
      <w:r w:rsidRPr="00446D0E">
        <w:rPr>
          <w:b/>
          <w:bCs/>
          <w:sz w:val="24"/>
          <w:szCs w:val="24"/>
        </w:rPr>
        <w:t xml:space="preserve">NOAC në kirurgjinë elektive. Ylli i verdhë </w:t>
      </w:r>
      <w:r>
        <w:rPr>
          <w:b/>
          <w:bCs/>
          <w:sz w:val="24"/>
          <w:szCs w:val="24"/>
        </w:rPr>
        <w:t>–</w:t>
      </w:r>
      <w:r w:rsidRPr="00446D0E">
        <w:rPr>
          <w:b/>
          <w:bCs/>
          <w:sz w:val="24"/>
          <w:szCs w:val="24"/>
        </w:rPr>
        <w:t xml:space="preserve"> </w:t>
      </w:r>
      <w:r>
        <w:rPr>
          <w:b/>
          <w:bCs/>
          <w:sz w:val="24"/>
          <w:szCs w:val="24"/>
        </w:rPr>
        <w:t>momenti i kryerjes së ndërhyrjes.</w:t>
      </w:r>
      <w:r w:rsidRPr="00446D0E">
        <w:rPr>
          <w:b/>
          <w:bCs/>
          <w:sz w:val="24"/>
          <w:szCs w:val="24"/>
        </w:rPr>
        <w:t xml:space="preserve"> Kllapat tregojnë marrjen fakultative para/postope</w:t>
      </w:r>
      <w:r>
        <w:rPr>
          <w:b/>
          <w:bCs/>
          <w:sz w:val="24"/>
          <w:szCs w:val="24"/>
        </w:rPr>
        <w:t>ratore</w:t>
      </w:r>
      <w:r w:rsidRPr="00446D0E">
        <w:rPr>
          <w:b/>
          <w:bCs/>
          <w:sz w:val="24"/>
          <w:szCs w:val="24"/>
        </w:rPr>
        <w:t xml:space="preserve">, veçanërisht në pacientët që nuk janë në rrezik të lartë </w:t>
      </w:r>
      <w:r>
        <w:rPr>
          <w:b/>
          <w:bCs/>
          <w:sz w:val="24"/>
          <w:szCs w:val="24"/>
        </w:rPr>
        <w:t>për hemorragji nga</w:t>
      </w:r>
      <w:r w:rsidRPr="00446D0E">
        <w:rPr>
          <w:b/>
          <w:bCs/>
          <w:sz w:val="24"/>
          <w:szCs w:val="24"/>
        </w:rPr>
        <w:t xml:space="preserve"> bari. </w:t>
      </w:r>
      <w:r>
        <w:rPr>
          <w:b/>
          <w:bCs/>
          <w:sz w:val="24"/>
          <w:szCs w:val="24"/>
        </w:rPr>
        <w:t>Në</w:t>
      </w:r>
      <w:r w:rsidRPr="004869C8">
        <w:rPr>
          <w:b/>
          <w:bCs/>
          <w:sz w:val="24"/>
          <w:szCs w:val="24"/>
        </w:rPr>
        <w:t xml:space="preserve"> situata që mund të rezultojnë në rritje të niveleve plazmatike [p.sh. pesha trupore &lt; 50 kg, ndërveprime të rëndësishme medikamentoze që ndikojnë në farmakokinetikë]</w:t>
      </w:r>
      <w:r>
        <w:rPr>
          <w:b/>
          <w:bCs/>
          <w:sz w:val="24"/>
          <w:szCs w:val="24"/>
        </w:rPr>
        <w:t xml:space="preserve">, antikoagulanti duhet të ndërpritet edhe </w:t>
      </w:r>
      <w:r w:rsidRPr="00446D0E">
        <w:rPr>
          <w:b/>
          <w:bCs/>
          <w:sz w:val="24"/>
          <w:szCs w:val="24"/>
        </w:rPr>
        <w:t xml:space="preserve">24 orë </w:t>
      </w:r>
      <w:r>
        <w:rPr>
          <w:b/>
          <w:bCs/>
          <w:sz w:val="24"/>
          <w:szCs w:val="24"/>
        </w:rPr>
        <w:t>më parë se zakonisht.</w:t>
      </w:r>
    </w:p>
    <w:p w14:paraId="5F998E07" w14:textId="77777777" w:rsidR="009E1860" w:rsidRDefault="009E1860" w:rsidP="009E1860">
      <w:pPr>
        <w:rPr>
          <w:b/>
          <w:bCs/>
          <w:sz w:val="24"/>
          <w:szCs w:val="24"/>
        </w:rPr>
      </w:pPr>
      <w:r w:rsidRPr="00446D0E">
        <w:rPr>
          <w:b/>
          <w:bCs/>
          <w:sz w:val="24"/>
          <w:szCs w:val="24"/>
        </w:rPr>
        <w:t xml:space="preserve">*Marrja e kësaj doze të dabigatranit nëse </w:t>
      </w:r>
      <w:r>
        <w:rPr>
          <w:b/>
          <w:bCs/>
          <w:sz w:val="24"/>
          <w:szCs w:val="24"/>
        </w:rPr>
        <w:t>klirensi i kreatininës</w:t>
      </w:r>
      <w:r w:rsidRPr="00446D0E">
        <w:rPr>
          <w:b/>
          <w:bCs/>
          <w:sz w:val="24"/>
          <w:szCs w:val="24"/>
        </w:rPr>
        <w:t xml:space="preserve"> është në intervalin e treguar; përndryshe anashkaloni këtë dozë. </w:t>
      </w:r>
    </w:p>
    <w:p w14:paraId="20EA836D" w14:textId="77777777" w:rsidR="009E1860" w:rsidRPr="008F2BCE" w:rsidRDefault="009E1860" w:rsidP="009E1860">
      <w:pPr>
        <w:rPr>
          <w:sz w:val="24"/>
          <w:szCs w:val="24"/>
        </w:rPr>
      </w:pPr>
      <w:r w:rsidRPr="00446D0E">
        <w:rPr>
          <w:b/>
          <w:bCs/>
          <w:sz w:val="24"/>
          <w:szCs w:val="24"/>
        </w:rPr>
        <w:t xml:space="preserve">**Merrni parasysh matjen e niveleve plazmatike në situata shumë të veçanta, p.sh. </w:t>
      </w:r>
      <w:r>
        <w:rPr>
          <w:b/>
          <w:bCs/>
          <w:sz w:val="24"/>
          <w:szCs w:val="24"/>
        </w:rPr>
        <w:t>gjatë n</w:t>
      </w:r>
      <w:r w:rsidRPr="00446D0E">
        <w:rPr>
          <w:b/>
          <w:bCs/>
          <w:sz w:val="24"/>
          <w:szCs w:val="24"/>
        </w:rPr>
        <w:t>eurokirurgji</w:t>
      </w:r>
      <w:r>
        <w:rPr>
          <w:b/>
          <w:bCs/>
          <w:sz w:val="24"/>
          <w:szCs w:val="24"/>
        </w:rPr>
        <w:t>së</w:t>
      </w:r>
      <w:r w:rsidRPr="00446D0E">
        <w:rPr>
          <w:b/>
          <w:bCs/>
          <w:sz w:val="24"/>
          <w:szCs w:val="24"/>
        </w:rPr>
        <w:t>/kirurgji</w:t>
      </w:r>
      <w:r>
        <w:rPr>
          <w:b/>
          <w:bCs/>
          <w:sz w:val="24"/>
          <w:szCs w:val="24"/>
        </w:rPr>
        <w:t>së</w:t>
      </w:r>
      <w:r w:rsidRPr="00446D0E">
        <w:rPr>
          <w:b/>
          <w:bCs/>
          <w:sz w:val="24"/>
          <w:szCs w:val="24"/>
        </w:rPr>
        <w:t xml:space="preserve"> kardiake me rrezik më të lartë, funksion</w:t>
      </w:r>
      <w:r>
        <w:rPr>
          <w:b/>
          <w:bCs/>
          <w:sz w:val="24"/>
          <w:szCs w:val="24"/>
        </w:rPr>
        <w:t>it</w:t>
      </w:r>
      <w:r w:rsidRPr="00446D0E">
        <w:rPr>
          <w:b/>
          <w:bCs/>
          <w:sz w:val="24"/>
          <w:szCs w:val="24"/>
        </w:rPr>
        <w:t xml:space="preserve"> renal </w:t>
      </w:r>
      <w:r>
        <w:rPr>
          <w:b/>
          <w:bCs/>
          <w:sz w:val="24"/>
          <w:szCs w:val="24"/>
        </w:rPr>
        <w:t>të</w:t>
      </w:r>
      <w:r w:rsidRPr="00446D0E">
        <w:rPr>
          <w:b/>
          <w:bCs/>
          <w:sz w:val="24"/>
          <w:szCs w:val="24"/>
        </w:rPr>
        <w:t xml:space="preserve"> dëmtuar rëndë, kombinimi</w:t>
      </w:r>
      <w:r>
        <w:rPr>
          <w:b/>
          <w:bCs/>
          <w:sz w:val="24"/>
          <w:szCs w:val="24"/>
        </w:rPr>
        <w:t>t të</w:t>
      </w:r>
      <w:r w:rsidRPr="00446D0E">
        <w:rPr>
          <w:b/>
          <w:bCs/>
          <w:sz w:val="24"/>
          <w:szCs w:val="24"/>
        </w:rPr>
        <w:t xml:space="preserve"> faktorëve që predispozojnë për nivele më të larta të NOAC</w:t>
      </w:r>
      <w:r>
        <w:rPr>
          <w:b/>
          <w:bCs/>
          <w:sz w:val="24"/>
          <w:szCs w:val="24"/>
        </w:rPr>
        <w:t xml:space="preserve">. </w:t>
      </w:r>
      <w:r w:rsidRPr="00446D0E">
        <w:rPr>
          <w:b/>
          <w:bCs/>
          <w:sz w:val="24"/>
          <w:szCs w:val="24"/>
        </w:rPr>
        <w:t xml:space="preserve">Rivaroxaban duhet të merret me ushqim për parandalimin e </w:t>
      </w:r>
      <w:r>
        <w:rPr>
          <w:b/>
          <w:bCs/>
          <w:sz w:val="24"/>
          <w:szCs w:val="24"/>
        </w:rPr>
        <w:t>insultit</w:t>
      </w:r>
      <w:r w:rsidRPr="00446D0E">
        <w:rPr>
          <w:b/>
          <w:bCs/>
          <w:sz w:val="24"/>
          <w:szCs w:val="24"/>
        </w:rPr>
        <w:t xml:space="preserve"> </w:t>
      </w:r>
      <w:r>
        <w:rPr>
          <w:b/>
          <w:bCs/>
          <w:sz w:val="24"/>
          <w:szCs w:val="24"/>
        </w:rPr>
        <w:t>cerebrale në fibrilacion atrial</w:t>
      </w:r>
      <w:r w:rsidRPr="00446D0E">
        <w:rPr>
          <w:b/>
          <w:bCs/>
          <w:sz w:val="24"/>
          <w:szCs w:val="24"/>
        </w:rPr>
        <w:t xml:space="preserve">, gjë që duhet të merret parasysh (gjithashtu) </w:t>
      </w:r>
      <w:r>
        <w:rPr>
          <w:b/>
          <w:bCs/>
          <w:sz w:val="24"/>
          <w:szCs w:val="24"/>
        </w:rPr>
        <w:t xml:space="preserve">edhe </w:t>
      </w:r>
      <w:r w:rsidRPr="00446D0E">
        <w:rPr>
          <w:b/>
          <w:bCs/>
          <w:sz w:val="24"/>
          <w:szCs w:val="24"/>
        </w:rPr>
        <w:t xml:space="preserve">pas operacionit. </w:t>
      </w:r>
    </w:p>
    <w:p w14:paraId="5FC0C11D" w14:textId="77777777" w:rsidR="009E1860" w:rsidRPr="005D130A" w:rsidRDefault="009E1860" w:rsidP="009E1860">
      <w:pPr>
        <w:rPr>
          <w:b/>
          <w:bCs/>
          <w:sz w:val="24"/>
          <w:szCs w:val="24"/>
        </w:rPr>
      </w:pPr>
    </w:p>
    <w:p w14:paraId="00BD718C" w14:textId="77777777" w:rsidR="009E1860" w:rsidRDefault="009E1860" w:rsidP="009E1860">
      <w:pPr>
        <w:rPr>
          <w:b/>
          <w:bCs/>
          <w:sz w:val="24"/>
          <w:szCs w:val="24"/>
        </w:rPr>
      </w:pPr>
      <w:r>
        <w:rPr>
          <w:noProof/>
        </w:rPr>
        <w:drawing>
          <wp:inline distT="0" distB="0" distL="0" distR="0" wp14:anchorId="1D6E26F0" wp14:editId="25D87BAA">
            <wp:extent cx="6601630" cy="393065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08593" cy="3934796"/>
                    </a:xfrm>
                    <a:prstGeom prst="rect">
                      <a:avLst/>
                    </a:prstGeom>
                  </pic:spPr>
                </pic:pic>
              </a:graphicData>
            </a:graphic>
          </wp:inline>
        </w:drawing>
      </w:r>
    </w:p>
    <w:p w14:paraId="7EB9AC92" w14:textId="77777777" w:rsidR="009E1860" w:rsidRDefault="009E1860" w:rsidP="009E1860">
      <w:pPr>
        <w:rPr>
          <w:b/>
          <w:bCs/>
          <w:sz w:val="24"/>
          <w:szCs w:val="24"/>
        </w:rPr>
      </w:pPr>
    </w:p>
    <w:p w14:paraId="341E5D65" w14:textId="77777777" w:rsidR="009E1860" w:rsidRDefault="009E1860" w:rsidP="009E1860">
      <w:pPr>
        <w:rPr>
          <w:sz w:val="24"/>
          <w:szCs w:val="24"/>
        </w:rPr>
      </w:pPr>
    </w:p>
    <w:p w14:paraId="0BF1B08E" w14:textId="77777777" w:rsidR="009E1860" w:rsidRDefault="009E1860" w:rsidP="009E1860">
      <w:pPr>
        <w:rPr>
          <w:sz w:val="24"/>
          <w:szCs w:val="24"/>
        </w:rPr>
      </w:pPr>
      <w:r>
        <w:rPr>
          <w:sz w:val="24"/>
          <w:szCs w:val="24"/>
        </w:rPr>
        <w:t xml:space="preserve">Megjithatë, për të përcaktuar se kur duhet ndërprerë dhe rinisur një NOAC, </w:t>
      </w:r>
      <w:r w:rsidRPr="004869C8">
        <w:rPr>
          <w:sz w:val="24"/>
          <w:szCs w:val="24"/>
        </w:rPr>
        <w:t xml:space="preserve">duhet të merren parasysh </w:t>
      </w:r>
      <w:r>
        <w:rPr>
          <w:sz w:val="24"/>
          <w:szCs w:val="24"/>
        </w:rPr>
        <w:t>karakteristikat e pacientit (përfshirë moshën, rrezikun për insult cerebral, historinë e komplikimeve hemorragjike, mjekimin shoqërues, funksionin e veshkave etj.) si dhe faktorët kirurgjikalë. Si e tillë, periudha e ndërprerjes "së paracaktuar</w:t>
      </w:r>
      <w:r w:rsidRPr="008F2BCE">
        <w:rPr>
          <w:sz w:val="24"/>
          <w:szCs w:val="24"/>
        </w:rPr>
        <w:t xml:space="preserve">" </w:t>
      </w:r>
      <w:r>
        <w:rPr>
          <w:sz w:val="24"/>
          <w:szCs w:val="24"/>
        </w:rPr>
        <w:t>e</w:t>
      </w:r>
      <w:r w:rsidRPr="008F2BCE">
        <w:rPr>
          <w:sz w:val="24"/>
          <w:szCs w:val="24"/>
        </w:rPr>
        <w:t xml:space="preserve"> NOAC</w:t>
      </w:r>
      <w:r>
        <w:rPr>
          <w:sz w:val="24"/>
          <w:szCs w:val="24"/>
        </w:rPr>
        <w:t>, e</w:t>
      </w:r>
      <w:r w:rsidRPr="008F2BCE">
        <w:rPr>
          <w:sz w:val="24"/>
          <w:szCs w:val="24"/>
        </w:rPr>
        <w:t xml:space="preserve"> parashikuar në figurat 2 dhe 3 mund të kërkojë përshtatje bazuar në raportin individual përfitim/rrezik.</w:t>
      </w:r>
      <w:r>
        <w:rPr>
          <w:sz w:val="24"/>
          <w:szCs w:val="24"/>
        </w:rPr>
        <w:t xml:space="preserve"> </w:t>
      </w:r>
    </w:p>
    <w:p w14:paraId="520EE84A" w14:textId="77777777" w:rsidR="009E1860" w:rsidRDefault="009E1860" w:rsidP="009E1860">
      <w:pPr>
        <w:rPr>
          <w:sz w:val="24"/>
          <w:szCs w:val="24"/>
        </w:rPr>
      </w:pPr>
      <w:r>
        <w:rPr>
          <w:sz w:val="24"/>
          <w:szCs w:val="24"/>
        </w:rPr>
        <w:t>Këshillohet fort të zhvillohen dhe zbatohen udhëzime institucionale dhe politika mbarë spitalore në lidhje me menaxhimin perioperativ të antikoagulimit në mjedise të ndryshme kirurgjikale, të cilat të komunikohen gjerësisht dhe të jenë lehtësisht të disponueshme. Të gjithë pacientët që i nënshtrohen një ndërhyrjeje të planifikuar, si dhe mjekët e tyre të kujdesit parësor duhet të njoftohen me shkrim për datën dhe orën e parashikuar të ndërhyrjes, si dhe datën dhe orën e marrjes së fundit të NOAC.</w:t>
      </w:r>
    </w:p>
    <w:p w14:paraId="20F23B46" w14:textId="77777777" w:rsidR="009E1860" w:rsidRDefault="009E1860" w:rsidP="009E1860">
      <w:pPr>
        <w:rPr>
          <w:sz w:val="24"/>
          <w:szCs w:val="24"/>
        </w:rPr>
      </w:pPr>
    </w:p>
    <w:p w14:paraId="07D89E7C" w14:textId="77777777" w:rsidR="009E1860" w:rsidRDefault="009E1860" w:rsidP="009E1860">
      <w:pPr>
        <w:rPr>
          <w:b/>
          <w:bCs/>
          <w:sz w:val="24"/>
          <w:szCs w:val="24"/>
        </w:rPr>
      </w:pPr>
      <w:r w:rsidRPr="008E7E9C">
        <w:rPr>
          <w:b/>
          <w:bCs/>
          <w:sz w:val="24"/>
          <w:szCs w:val="24"/>
        </w:rPr>
        <w:t>Testet laboratorike para operacionit ose procedurave invazive</w:t>
      </w:r>
    </w:p>
    <w:p w14:paraId="1C44BB6A" w14:textId="77777777" w:rsidR="009E1860" w:rsidRPr="0061435E" w:rsidRDefault="009E1860" w:rsidP="009E1860">
      <w:pPr>
        <w:rPr>
          <w:sz w:val="24"/>
          <w:szCs w:val="24"/>
        </w:rPr>
      </w:pPr>
      <w:r w:rsidRPr="0061435E">
        <w:rPr>
          <w:sz w:val="24"/>
          <w:szCs w:val="24"/>
        </w:rPr>
        <w:t>M</w:t>
      </w:r>
      <w:r>
        <w:rPr>
          <w:sz w:val="24"/>
          <w:szCs w:val="24"/>
        </w:rPr>
        <w:t>ë</w:t>
      </w:r>
      <w:r w:rsidRPr="0061435E">
        <w:rPr>
          <w:sz w:val="24"/>
          <w:szCs w:val="24"/>
        </w:rPr>
        <w:t xml:space="preserve"> lart, n</w:t>
      </w:r>
      <w:r>
        <w:rPr>
          <w:sz w:val="24"/>
          <w:szCs w:val="24"/>
        </w:rPr>
        <w:t>ë</w:t>
      </w:r>
      <w:r w:rsidRPr="0061435E">
        <w:rPr>
          <w:sz w:val="24"/>
          <w:szCs w:val="24"/>
        </w:rPr>
        <w:t xml:space="preserve"> figur</w:t>
      </w:r>
      <w:r>
        <w:rPr>
          <w:sz w:val="24"/>
          <w:szCs w:val="24"/>
        </w:rPr>
        <w:t>ë</w:t>
      </w:r>
      <w:r w:rsidRPr="0061435E">
        <w:rPr>
          <w:sz w:val="24"/>
          <w:szCs w:val="24"/>
        </w:rPr>
        <w:t>n 2, jepet me sakt</w:t>
      </w:r>
      <w:r>
        <w:rPr>
          <w:sz w:val="24"/>
          <w:szCs w:val="24"/>
        </w:rPr>
        <w:t>ë</w:t>
      </w:r>
      <w:r w:rsidRPr="0061435E">
        <w:rPr>
          <w:sz w:val="24"/>
          <w:szCs w:val="24"/>
        </w:rPr>
        <w:t>si koha se kur duhet t</w:t>
      </w:r>
      <w:r>
        <w:rPr>
          <w:sz w:val="24"/>
          <w:szCs w:val="24"/>
        </w:rPr>
        <w:t>ë</w:t>
      </w:r>
      <w:r w:rsidRPr="0061435E">
        <w:rPr>
          <w:sz w:val="24"/>
          <w:szCs w:val="24"/>
        </w:rPr>
        <w:t xml:space="preserve"> nd</w:t>
      </w:r>
      <w:r>
        <w:rPr>
          <w:sz w:val="24"/>
          <w:szCs w:val="24"/>
        </w:rPr>
        <w:t>ë</w:t>
      </w:r>
      <w:r w:rsidRPr="0061435E">
        <w:rPr>
          <w:sz w:val="24"/>
          <w:szCs w:val="24"/>
        </w:rPr>
        <w:t>rpritet nj</w:t>
      </w:r>
      <w:r>
        <w:rPr>
          <w:sz w:val="24"/>
          <w:szCs w:val="24"/>
        </w:rPr>
        <w:t>ë</w:t>
      </w:r>
      <w:r w:rsidRPr="0061435E">
        <w:rPr>
          <w:sz w:val="24"/>
          <w:szCs w:val="24"/>
        </w:rPr>
        <w:t xml:space="preserve"> NOAC para një ndërhyrje t</w:t>
      </w:r>
      <w:r>
        <w:rPr>
          <w:sz w:val="24"/>
          <w:szCs w:val="24"/>
        </w:rPr>
        <w:t>ë</w:t>
      </w:r>
      <w:r w:rsidRPr="0061435E">
        <w:rPr>
          <w:sz w:val="24"/>
          <w:szCs w:val="24"/>
        </w:rPr>
        <w:t xml:space="preserve"> planifikuar, n</w:t>
      </w:r>
      <w:r>
        <w:rPr>
          <w:sz w:val="24"/>
          <w:szCs w:val="24"/>
        </w:rPr>
        <w:t>ë</w:t>
      </w:r>
      <w:r w:rsidRPr="0061435E">
        <w:rPr>
          <w:sz w:val="24"/>
          <w:szCs w:val="24"/>
        </w:rPr>
        <w:t xml:space="preserve"> v</w:t>
      </w:r>
      <w:r>
        <w:rPr>
          <w:sz w:val="24"/>
          <w:szCs w:val="24"/>
        </w:rPr>
        <w:t>ë</w:t>
      </w:r>
      <w:r w:rsidRPr="0061435E">
        <w:rPr>
          <w:sz w:val="24"/>
          <w:szCs w:val="24"/>
        </w:rPr>
        <w:t>ar</w:t>
      </w:r>
      <w:r>
        <w:rPr>
          <w:sz w:val="24"/>
          <w:szCs w:val="24"/>
        </w:rPr>
        <w:t>ë</w:t>
      </w:r>
      <w:r w:rsidRPr="0061435E">
        <w:rPr>
          <w:sz w:val="24"/>
          <w:szCs w:val="24"/>
        </w:rPr>
        <w:t>si t</w:t>
      </w:r>
      <w:r>
        <w:rPr>
          <w:sz w:val="24"/>
          <w:szCs w:val="24"/>
        </w:rPr>
        <w:t>ë</w:t>
      </w:r>
      <w:r w:rsidRPr="0061435E">
        <w:rPr>
          <w:sz w:val="24"/>
          <w:szCs w:val="24"/>
        </w:rPr>
        <w:t xml:space="preserve"> funksionit renal/klirensit t</w:t>
      </w:r>
      <w:r>
        <w:rPr>
          <w:sz w:val="24"/>
          <w:szCs w:val="24"/>
        </w:rPr>
        <w:t>ë</w:t>
      </w:r>
      <w:r w:rsidRPr="0061435E">
        <w:rPr>
          <w:sz w:val="24"/>
          <w:szCs w:val="24"/>
        </w:rPr>
        <w:t xml:space="preserve"> kreatinin</w:t>
      </w:r>
      <w:r>
        <w:rPr>
          <w:sz w:val="24"/>
          <w:szCs w:val="24"/>
        </w:rPr>
        <w:t>ë</w:t>
      </w:r>
      <w:r w:rsidRPr="0061435E">
        <w:rPr>
          <w:sz w:val="24"/>
          <w:szCs w:val="24"/>
        </w:rPr>
        <w:t xml:space="preserve">s. </w:t>
      </w:r>
      <w:r>
        <w:rPr>
          <w:sz w:val="24"/>
          <w:szCs w:val="24"/>
        </w:rPr>
        <w:t xml:space="preserve">Kjo metodë quhet ‘metoda e bazuar në kohë’. </w:t>
      </w:r>
      <w:r w:rsidRPr="0061435E">
        <w:rPr>
          <w:sz w:val="24"/>
          <w:szCs w:val="24"/>
        </w:rPr>
        <w:t>P</w:t>
      </w:r>
      <w:r>
        <w:rPr>
          <w:sz w:val="24"/>
          <w:szCs w:val="24"/>
        </w:rPr>
        <w:t>ë</w:t>
      </w:r>
      <w:r w:rsidRPr="0061435E">
        <w:rPr>
          <w:sz w:val="24"/>
          <w:szCs w:val="24"/>
        </w:rPr>
        <w:t>rvec k</w:t>
      </w:r>
      <w:r>
        <w:rPr>
          <w:sz w:val="24"/>
          <w:szCs w:val="24"/>
        </w:rPr>
        <w:t>ë</w:t>
      </w:r>
      <w:r w:rsidRPr="0061435E">
        <w:rPr>
          <w:sz w:val="24"/>
          <w:szCs w:val="24"/>
        </w:rPr>
        <w:t>saj m</w:t>
      </w:r>
      <w:r>
        <w:rPr>
          <w:sz w:val="24"/>
          <w:szCs w:val="24"/>
        </w:rPr>
        <w:t>etode</w:t>
      </w:r>
      <w:r w:rsidRPr="0061435E">
        <w:rPr>
          <w:sz w:val="24"/>
          <w:szCs w:val="24"/>
        </w:rPr>
        <w:t>, eksizston edhe nj</w:t>
      </w:r>
      <w:r>
        <w:rPr>
          <w:sz w:val="24"/>
          <w:szCs w:val="24"/>
        </w:rPr>
        <w:t>ë</w:t>
      </w:r>
      <w:r w:rsidRPr="0061435E">
        <w:rPr>
          <w:sz w:val="24"/>
          <w:szCs w:val="24"/>
        </w:rPr>
        <w:t xml:space="preserve"> m</w:t>
      </w:r>
      <w:r>
        <w:rPr>
          <w:sz w:val="24"/>
          <w:szCs w:val="24"/>
        </w:rPr>
        <w:t>etodë</w:t>
      </w:r>
      <w:r w:rsidRPr="0061435E">
        <w:rPr>
          <w:sz w:val="24"/>
          <w:szCs w:val="24"/>
        </w:rPr>
        <w:t xml:space="preserve"> tjet</w:t>
      </w:r>
      <w:r>
        <w:rPr>
          <w:sz w:val="24"/>
          <w:szCs w:val="24"/>
        </w:rPr>
        <w:t>ë</w:t>
      </w:r>
      <w:r w:rsidRPr="0061435E">
        <w:rPr>
          <w:sz w:val="24"/>
          <w:szCs w:val="24"/>
        </w:rPr>
        <w:t>r p</w:t>
      </w:r>
      <w:r>
        <w:rPr>
          <w:sz w:val="24"/>
          <w:szCs w:val="24"/>
        </w:rPr>
        <w:t>ë</w:t>
      </w:r>
      <w:r w:rsidRPr="0061435E">
        <w:rPr>
          <w:sz w:val="24"/>
          <w:szCs w:val="24"/>
        </w:rPr>
        <w:t>r t</w:t>
      </w:r>
      <w:r>
        <w:rPr>
          <w:sz w:val="24"/>
          <w:szCs w:val="24"/>
        </w:rPr>
        <w:t>ë</w:t>
      </w:r>
      <w:r w:rsidRPr="0061435E">
        <w:rPr>
          <w:sz w:val="24"/>
          <w:szCs w:val="24"/>
        </w:rPr>
        <w:t xml:space="preserve"> p</w:t>
      </w:r>
      <w:r>
        <w:rPr>
          <w:sz w:val="24"/>
          <w:szCs w:val="24"/>
        </w:rPr>
        <w:t>ë</w:t>
      </w:r>
      <w:r w:rsidRPr="0061435E">
        <w:rPr>
          <w:sz w:val="24"/>
          <w:szCs w:val="24"/>
        </w:rPr>
        <w:t>rcaktuar se sa koh</w:t>
      </w:r>
      <w:r>
        <w:rPr>
          <w:sz w:val="24"/>
          <w:szCs w:val="24"/>
        </w:rPr>
        <w:t>ë</w:t>
      </w:r>
      <w:r w:rsidRPr="0061435E">
        <w:rPr>
          <w:sz w:val="24"/>
          <w:szCs w:val="24"/>
        </w:rPr>
        <w:t xml:space="preserve"> para nj</w:t>
      </w:r>
      <w:r>
        <w:rPr>
          <w:sz w:val="24"/>
          <w:szCs w:val="24"/>
        </w:rPr>
        <w:t>ë</w:t>
      </w:r>
      <w:r w:rsidRPr="0061435E">
        <w:rPr>
          <w:sz w:val="24"/>
          <w:szCs w:val="24"/>
        </w:rPr>
        <w:t xml:space="preserve"> nd</w:t>
      </w:r>
      <w:r>
        <w:rPr>
          <w:sz w:val="24"/>
          <w:szCs w:val="24"/>
        </w:rPr>
        <w:t>ë</w:t>
      </w:r>
      <w:r w:rsidRPr="0061435E">
        <w:rPr>
          <w:sz w:val="24"/>
          <w:szCs w:val="24"/>
        </w:rPr>
        <w:t>rhyrje kirurgjikale duhet t</w:t>
      </w:r>
      <w:r>
        <w:rPr>
          <w:sz w:val="24"/>
          <w:szCs w:val="24"/>
        </w:rPr>
        <w:t>ë</w:t>
      </w:r>
      <w:r w:rsidRPr="0061435E">
        <w:rPr>
          <w:sz w:val="24"/>
          <w:szCs w:val="24"/>
        </w:rPr>
        <w:t xml:space="preserve"> nd</w:t>
      </w:r>
      <w:r>
        <w:rPr>
          <w:sz w:val="24"/>
          <w:szCs w:val="24"/>
        </w:rPr>
        <w:t>ë</w:t>
      </w:r>
      <w:r w:rsidRPr="0061435E">
        <w:rPr>
          <w:sz w:val="24"/>
          <w:szCs w:val="24"/>
        </w:rPr>
        <w:t>rpritet NOAC. Kjo m</w:t>
      </w:r>
      <w:r>
        <w:rPr>
          <w:sz w:val="24"/>
          <w:szCs w:val="24"/>
        </w:rPr>
        <w:t>etodë</w:t>
      </w:r>
      <w:r w:rsidRPr="0061435E">
        <w:rPr>
          <w:sz w:val="24"/>
          <w:szCs w:val="24"/>
        </w:rPr>
        <w:t xml:space="preserve"> e dyt</w:t>
      </w:r>
      <w:r>
        <w:rPr>
          <w:sz w:val="24"/>
          <w:szCs w:val="24"/>
        </w:rPr>
        <w:t>ë</w:t>
      </w:r>
      <w:r w:rsidRPr="0061435E">
        <w:rPr>
          <w:sz w:val="24"/>
          <w:szCs w:val="24"/>
        </w:rPr>
        <w:t xml:space="preserve"> bazohet n</w:t>
      </w:r>
      <w:r>
        <w:rPr>
          <w:sz w:val="24"/>
          <w:szCs w:val="24"/>
        </w:rPr>
        <w:t>ë</w:t>
      </w:r>
      <w:r w:rsidRPr="0061435E">
        <w:rPr>
          <w:sz w:val="24"/>
          <w:szCs w:val="24"/>
        </w:rPr>
        <w:t xml:space="preserve"> matjen e p</w:t>
      </w:r>
      <w:r>
        <w:rPr>
          <w:sz w:val="24"/>
          <w:szCs w:val="24"/>
        </w:rPr>
        <w:t>ë</w:t>
      </w:r>
      <w:r w:rsidRPr="0061435E">
        <w:rPr>
          <w:sz w:val="24"/>
          <w:szCs w:val="24"/>
        </w:rPr>
        <w:t>rq</w:t>
      </w:r>
      <w:r>
        <w:rPr>
          <w:sz w:val="24"/>
          <w:szCs w:val="24"/>
        </w:rPr>
        <w:t>ë</w:t>
      </w:r>
      <w:r w:rsidRPr="0061435E">
        <w:rPr>
          <w:sz w:val="24"/>
          <w:szCs w:val="24"/>
        </w:rPr>
        <w:t>ndrimit plazmatik t</w:t>
      </w:r>
      <w:r>
        <w:rPr>
          <w:sz w:val="24"/>
          <w:szCs w:val="24"/>
        </w:rPr>
        <w:t>ë</w:t>
      </w:r>
      <w:r w:rsidRPr="0061435E">
        <w:rPr>
          <w:sz w:val="24"/>
          <w:szCs w:val="24"/>
        </w:rPr>
        <w:t xml:space="preserve"> </w:t>
      </w:r>
      <w:r>
        <w:rPr>
          <w:sz w:val="24"/>
          <w:szCs w:val="24"/>
        </w:rPr>
        <w:t>antikoagulantit/</w:t>
      </w:r>
      <w:r w:rsidRPr="0061435E">
        <w:rPr>
          <w:sz w:val="24"/>
          <w:szCs w:val="24"/>
        </w:rPr>
        <w:t>NOAC-ut para nd</w:t>
      </w:r>
      <w:r>
        <w:rPr>
          <w:sz w:val="24"/>
          <w:szCs w:val="24"/>
        </w:rPr>
        <w:t>ë</w:t>
      </w:r>
      <w:r w:rsidRPr="0061435E">
        <w:rPr>
          <w:sz w:val="24"/>
          <w:szCs w:val="24"/>
        </w:rPr>
        <w:t>rhyrjes</w:t>
      </w:r>
      <w:r>
        <w:rPr>
          <w:sz w:val="24"/>
          <w:szCs w:val="24"/>
        </w:rPr>
        <w:t xml:space="preserve"> (‘metoda e bazuar në përqëndrimin plazmatik’). </w:t>
      </w:r>
      <w:r w:rsidRPr="0061435E">
        <w:rPr>
          <w:sz w:val="24"/>
          <w:szCs w:val="24"/>
        </w:rPr>
        <w:t>Ekzistojn</w:t>
      </w:r>
      <w:r>
        <w:rPr>
          <w:sz w:val="24"/>
          <w:szCs w:val="24"/>
        </w:rPr>
        <w:t>ë</w:t>
      </w:r>
      <w:r w:rsidRPr="0061435E">
        <w:rPr>
          <w:sz w:val="24"/>
          <w:szCs w:val="24"/>
        </w:rPr>
        <w:t xml:space="preserve"> t</w:t>
      </w:r>
      <w:r>
        <w:rPr>
          <w:sz w:val="24"/>
          <w:szCs w:val="24"/>
        </w:rPr>
        <w:t>ë</w:t>
      </w:r>
      <w:r w:rsidRPr="0061435E">
        <w:rPr>
          <w:sz w:val="24"/>
          <w:szCs w:val="24"/>
        </w:rPr>
        <w:t xml:space="preserve"> dh</w:t>
      </w:r>
      <w:r>
        <w:rPr>
          <w:sz w:val="24"/>
          <w:szCs w:val="24"/>
        </w:rPr>
        <w:t>ë</w:t>
      </w:r>
      <w:r w:rsidRPr="0061435E">
        <w:rPr>
          <w:sz w:val="24"/>
          <w:szCs w:val="24"/>
        </w:rPr>
        <w:t>na  se sa duhet t</w:t>
      </w:r>
      <w:r>
        <w:rPr>
          <w:sz w:val="24"/>
          <w:szCs w:val="24"/>
        </w:rPr>
        <w:t>ë</w:t>
      </w:r>
      <w:r w:rsidRPr="0061435E">
        <w:rPr>
          <w:sz w:val="24"/>
          <w:szCs w:val="24"/>
        </w:rPr>
        <w:t xml:space="preserve"> jet</w:t>
      </w:r>
      <w:r>
        <w:rPr>
          <w:sz w:val="24"/>
          <w:szCs w:val="24"/>
        </w:rPr>
        <w:t>ë</w:t>
      </w:r>
      <w:r w:rsidRPr="0061435E">
        <w:rPr>
          <w:sz w:val="24"/>
          <w:szCs w:val="24"/>
        </w:rPr>
        <w:t xml:space="preserve"> psh p</w:t>
      </w:r>
      <w:r>
        <w:rPr>
          <w:sz w:val="24"/>
          <w:szCs w:val="24"/>
        </w:rPr>
        <w:t>ë</w:t>
      </w:r>
      <w:r w:rsidRPr="0061435E">
        <w:rPr>
          <w:sz w:val="24"/>
          <w:szCs w:val="24"/>
        </w:rPr>
        <w:t>rq</w:t>
      </w:r>
      <w:r>
        <w:rPr>
          <w:sz w:val="24"/>
          <w:szCs w:val="24"/>
        </w:rPr>
        <w:t>ë</w:t>
      </w:r>
      <w:r w:rsidRPr="0061435E">
        <w:rPr>
          <w:sz w:val="24"/>
          <w:szCs w:val="24"/>
        </w:rPr>
        <w:t>ndrimi i apixabanit para nd</w:t>
      </w:r>
      <w:r>
        <w:rPr>
          <w:sz w:val="24"/>
          <w:szCs w:val="24"/>
        </w:rPr>
        <w:t>ë</w:t>
      </w:r>
      <w:r w:rsidRPr="0061435E">
        <w:rPr>
          <w:sz w:val="24"/>
          <w:szCs w:val="24"/>
        </w:rPr>
        <w:t>rhyrjes. N</w:t>
      </w:r>
      <w:r>
        <w:rPr>
          <w:sz w:val="24"/>
          <w:szCs w:val="24"/>
        </w:rPr>
        <w:t>ë</w:t>
      </w:r>
      <w:r w:rsidRPr="0061435E">
        <w:rPr>
          <w:sz w:val="24"/>
          <w:szCs w:val="24"/>
        </w:rPr>
        <w:t>se pas matjes rezulton se p</w:t>
      </w:r>
      <w:r>
        <w:rPr>
          <w:sz w:val="24"/>
          <w:szCs w:val="24"/>
        </w:rPr>
        <w:t>ë</w:t>
      </w:r>
      <w:r w:rsidRPr="0061435E">
        <w:rPr>
          <w:sz w:val="24"/>
          <w:szCs w:val="24"/>
        </w:rPr>
        <w:t>rq</w:t>
      </w:r>
      <w:r>
        <w:rPr>
          <w:sz w:val="24"/>
          <w:szCs w:val="24"/>
        </w:rPr>
        <w:t>ë</w:t>
      </w:r>
      <w:r w:rsidRPr="0061435E">
        <w:rPr>
          <w:sz w:val="24"/>
          <w:szCs w:val="24"/>
        </w:rPr>
        <w:t xml:space="preserve">ndrimi plazmatik i apixaban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i lart</w:t>
      </w:r>
      <w:r>
        <w:rPr>
          <w:sz w:val="24"/>
          <w:szCs w:val="24"/>
        </w:rPr>
        <w:t>ë</w:t>
      </w:r>
      <w:r w:rsidRPr="0061435E">
        <w:rPr>
          <w:sz w:val="24"/>
          <w:szCs w:val="24"/>
        </w:rPr>
        <w:t xml:space="preserve"> se ai i duhuri,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kryerja e procedur</w:t>
      </w:r>
      <w:r>
        <w:rPr>
          <w:sz w:val="24"/>
          <w:szCs w:val="24"/>
        </w:rPr>
        <w:t>ë</w:t>
      </w:r>
      <w:r w:rsidRPr="0061435E">
        <w:rPr>
          <w:sz w:val="24"/>
          <w:szCs w:val="24"/>
        </w:rPr>
        <w:t>s mbart rrezik t</w:t>
      </w:r>
      <w:r>
        <w:rPr>
          <w:sz w:val="24"/>
          <w:szCs w:val="24"/>
        </w:rPr>
        <w:t>ë</w:t>
      </w:r>
      <w:r w:rsidRPr="0061435E">
        <w:rPr>
          <w:sz w:val="24"/>
          <w:szCs w:val="24"/>
        </w:rPr>
        <w:t xml:space="preserve"> rritur p</w:t>
      </w:r>
      <w:r>
        <w:rPr>
          <w:sz w:val="24"/>
          <w:szCs w:val="24"/>
        </w:rPr>
        <w:t>ë</w:t>
      </w:r>
      <w:r w:rsidRPr="0061435E">
        <w:rPr>
          <w:sz w:val="24"/>
          <w:szCs w:val="24"/>
        </w:rPr>
        <w:t>r hemorragji. N</w:t>
      </w:r>
      <w:r>
        <w:rPr>
          <w:sz w:val="24"/>
          <w:szCs w:val="24"/>
        </w:rPr>
        <w:t>ë</w:t>
      </w:r>
      <w:r w:rsidRPr="0061435E">
        <w:rPr>
          <w:sz w:val="24"/>
          <w:szCs w:val="24"/>
        </w:rPr>
        <w:t>se rezulton m</w:t>
      </w:r>
      <w:r>
        <w:rPr>
          <w:sz w:val="24"/>
          <w:szCs w:val="24"/>
        </w:rPr>
        <w:t>ë</w:t>
      </w:r>
      <w:r w:rsidRPr="0061435E">
        <w:rPr>
          <w:sz w:val="24"/>
          <w:szCs w:val="24"/>
        </w:rPr>
        <w:t xml:space="preserve"> i ul</w:t>
      </w:r>
      <w:r>
        <w:rPr>
          <w:sz w:val="24"/>
          <w:szCs w:val="24"/>
        </w:rPr>
        <w:t>ë</w:t>
      </w:r>
      <w:r w:rsidRPr="0061435E">
        <w:rPr>
          <w:sz w:val="24"/>
          <w:szCs w:val="24"/>
        </w:rPr>
        <w:t>t, do t</w:t>
      </w:r>
      <w:r>
        <w:rPr>
          <w:sz w:val="24"/>
          <w:szCs w:val="24"/>
        </w:rPr>
        <w:t>ë</w:t>
      </w:r>
      <w:r w:rsidRPr="0061435E">
        <w:rPr>
          <w:sz w:val="24"/>
          <w:szCs w:val="24"/>
        </w:rPr>
        <w:t xml:space="preserve"> thot</w:t>
      </w:r>
      <w:r>
        <w:rPr>
          <w:sz w:val="24"/>
          <w:szCs w:val="24"/>
        </w:rPr>
        <w:t>ë</w:t>
      </w:r>
      <w:r w:rsidRPr="0061435E">
        <w:rPr>
          <w:sz w:val="24"/>
          <w:szCs w:val="24"/>
        </w:rPr>
        <w:t xml:space="preserve"> q</w:t>
      </w:r>
      <w:r>
        <w:rPr>
          <w:sz w:val="24"/>
          <w:szCs w:val="24"/>
        </w:rPr>
        <w:t>ë</w:t>
      </w:r>
      <w:r w:rsidRPr="0061435E">
        <w:rPr>
          <w:sz w:val="24"/>
          <w:szCs w:val="24"/>
        </w:rPr>
        <w:t xml:space="preserve"> bari </w:t>
      </w:r>
      <w:r>
        <w:rPr>
          <w:sz w:val="24"/>
          <w:szCs w:val="24"/>
        </w:rPr>
        <w:t>ë</w:t>
      </w:r>
      <w:r w:rsidRPr="0061435E">
        <w:rPr>
          <w:sz w:val="24"/>
          <w:szCs w:val="24"/>
        </w:rPr>
        <w:t>sht</w:t>
      </w:r>
      <w:r>
        <w:rPr>
          <w:sz w:val="24"/>
          <w:szCs w:val="24"/>
        </w:rPr>
        <w:t>ë</w:t>
      </w:r>
      <w:r w:rsidRPr="0061435E">
        <w:rPr>
          <w:sz w:val="24"/>
          <w:szCs w:val="24"/>
        </w:rPr>
        <w:t xml:space="preserve"> drejt eliminimit dhe nd</w:t>
      </w:r>
      <w:r>
        <w:rPr>
          <w:sz w:val="24"/>
          <w:szCs w:val="24"/>
        </w:rPr>
        <w:t>ë</w:t>
      </w:r>
      <w:r w:rsidRPr="0061435E">
        <w:rPr>
          <w:sz w:val="24"/>
          <w:szCs w:val="24"/>
        </w:rPr>
        <w:t xml:space="preserve">rhyrja </w:t>
      </w:r>
      <w:r>
        <w:rPr>
          <w:sz w:val="24"/>
          <w:szCs w:val="24"/>
        </w:rPr>
        <w:t>ë</w:t>
      </w:r>
      <w:r w:rsidRPr="0061435E">
        <w:rPr>
          <w:sz w:val="24"/>
          <w:szCs w:val="24"/>
        </w:rPr>
        <w:t>sht</w:t>
      </w:r>
      <w:r>
        <w:rPr>
          <w:sz w:val="24"/>
          <w:szCs w:val="24"/>
        </w:rPr>
        <w:t>ë</w:t>
      </w:r>
      <w:r w:rsidRPr="0061435E">
        <w:rPr>
          <w:sz w:val="24"/>
          <w:szCs w:val="24"/>
        </w:rPr>
        <w:t xml:space="preserve"> m</w:t>
      </w:r>
      <w:r>
        <w:rPr>
          <w:sz w:val="24"/>
          <w:szCs w:val="24"/>
        </w:rPr>
        <w:t>ë</w:t>
      </w:r>
      <w:r w:rsidRPr="0061435E">
        <w:rPr>
          <w:sz w:val="24"/>
          <w:szCs w:val="24"/>
        </w:rPr>
        <w:t xml:space="preserve"> e sigurt.</w:t>
      </w:r>
    </w:p>
    <w:p w14:paraId="13D6861C" w14:textId="77777777" w:rsidR="009E1860" w:rsidRDefault="009E1860" w:rsidP="009E1860">
      <w:pPr>
        <w:rPr>
          <w:sz w:val="24"/>
          <w:szCs w:val="24"/>
        </w:rPr>
      </w:pPr>
      <w:r>
        <w:rPr>
          <w:sz w:val="24"/>
          <w:szCs w:val="24"/>
        </w:rPr>
        <w:t>Për shkak se analiza laboratorike me anë të së cilës maten përqëndrimet plazmatike të antikoagulantit nuk janë të disponueshme në cdo spital dhe për shkak se ato janë të kushtueshme, propozohet që metoda e dyte e llogaritjes së kohës së ndërhyrjes, të kryhet vetëm në ndërhyrjet me rrezik të lartë apo ndërhyrjet në të cilat edhe disa hemorragji mund të kenë pasoja të rënda. Edhe pse teorikisht e arsyeshme, profesionistët e kujdesit shëndetësor si dhe pacientët duhet të jenë të vetëdijshëm se përcaktimi i kohës se kur do të ndërpritet NOAC bazuar në nivelin plazmatik të tij, është një metodë e pastandardizuar apo vërtetuar në mënyrë prospektive përsa i përket impaktit klinik, përfshirë këtu edhe përcaktimin e niveleve 'të sigurta' të NOAC për lloje të ndryshme procedurash.</w:t>
      </w:r>
    </w:p>
    <w:p w14:paraId="27E3A748" w14:textId="77777777" w:rsidR="009E1860" w:rsidRDefault="009E1860" w:rsidP="009E1860">
      <w:pPr>
        <w:rPr>
          <w:sz w:val="24"/>
          <w:szCs w:val="24"/>
        </w:rPr>
      </w:pPr>
      <w:r>
        <w:rPr>
          <w:sz w:val="24"/>
          <w:szCs w:val="24"/>
        </w:rPr>
        <w:t xml:space="preserve">Në studimin PAUSE "Perioperative Anticoagulant Use for Surgery Evaluation", pacientët që i nënshtroheshin procedurave me rrezik të ulët kishin më shumë gjasa të kishin nivele të ngritura lehtë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30 ng/mL) </w:t>
      </w:r>
      <w:r>
        <w:rPr>
          <w:sz w:val="24"/>
          <w:szCs w:val="24"/>
        </w:rPr>
        <w:t xml:space="preserve">ose mesatarisht </w:t>
      </w:r>
      <w:r w:rsidRPr="002A3D20">
        <w:rPr>
          <w:sz w:val="24"/>
          <w:szCs w:val="24"/>
        </w:rPr>
        <w:t>(</w:t>
      </w:r>
      <w:r w:rsidRPr="00362E6D">
        <w:rPr>
          <w:sz w:val="24"/>
          <w:szCs w:val="24"/>
          <w:u w:val="single"/>
        </w:rPr>
        <w:t>&gt;</w:t>
      </w:r>
      <w:r>
        <w:rPr>
          <w:sz w:val="24"/>
          <w:szCs w:val="24"/>
        </w:rPr>
        <w:t xml:space="preserve"> </w:t>
      </w:r>
      <w:r w:rsidRPr="002A3D20">
        <w:rPr>
          <w:sz w:val="24"/>
          <w:szCs w:val="24"/>
        </w:rPr>
        <w:t xml:space="preserve">50 ng/mL) </w:t>
      </w:r>
      <w:r>
        <w:rPr>
          <w:sz w:val="24"/>
          <w:szCs w:val="24"/>
        </w:rPr>
        <w:t xml:space="preserve">të NOAC për shkak se mjekët, duke i konsideruar procedurat si të lehta, e ndërprisnin NOAC-un vetëm pak kohë para ndërhyrjes. Për procedurat me rrezik të lartë, CrCl&lt;50 ml/min, doza standarde e NOAC (kundrejt asaj të reduktuar), pesha trupore &lt;70 kg dhe seksi femër u shoqëruan me nivele të larta të NOAC. Në studimin multicentrik CORIDA  'COncentration of  RIvaroxaban, Dabigatran dhe Apixaban' , klirensi i kreatininës &lt;50 ml/min dhe përdorimi i disa barnave antiaritmike (amiodaroni, verapamil, diltiazem) u shoqëruan me nivele perioperative të larta plazmatike. Megjithatë, nivelet e ngritura të NOAC nuk ishin në mënyrë të pavarur parashikues të një probabiliteti të rritur për hemorragji qoftë në PAUSE ashtu edhe në CORIDA. Prandaj, megjithëse vlerësimi i niveleve të mbetura të NOAC mund të merret parasysh në disa pacientë </w:t>
      </w:r>
      <w:r w:rsidRPr="008F2BCE">
        <w:rPr>
          <w:sz w:val="24"/>
          <w:szCs w:val="24"/>
        </w:rPr>
        <w:t>të përzgjedhur, veçanërisht përpara se t'i nënshtrohen ndërhyrjeve me rrezik të lartë, ndërprerja e 'bazuar në kohë' siç përshkruhet më poshtë, përgjithësisht duket e sigurt për shumicën e pacientëve dhe procedurave. Vlen të përmendet, se nëse NOAC ndërpritet për &gt;72 orë, mundësia e ndonjë niveli të mbetur të NOAC duket shumë e ulët duke</w:t>
      </w:r>
      <w:r>
        <w:rPr>
          <w:sz w:val="24"/>
          <w:szCs w:val="24"/>
        </w:rPr>
        <w:t xml:space="preserve"> përjashtuar domosdoshmërinë e vlerësimit të nivelit të NOAC jashtë skenarëve me rrezik shumë të lartë të akumulimit të barit (p.sh. reduktim i rëndë i funksionit renal).</w:t>
      </w:r>
    </w:p>
    <w:p w14:paraId="63953717" w14:textId="77777777" w:rsidR="009E1860" w:rsidRDefault="009E1860" w:rsidP="009E1860">
      <w:pPr>
        <w:rPr>
          <w:sz w:val="24"/>
          <w:szCs w:val="24"/>
        </w:rPr>
      </w:pPr>
    </w:p>
    <w:p w14:paraId="6E6F6790" w14:textId="77777777" w:rsidR="009E1860" w:rsidRPr="00DB68CB" w:rsidRDefault="009E1860" w:rsidP="009E1860">
      <w:pPr>
        <w:rPr>
          <w:b/>
          <w:bCs/>
          <w:sz w:val="24"/>
          <w:szCs w:val="24"/>
        </w:rPr>
      </w:pPr>
      <w:r>
        <w:rPr>
          <w:b/>
          <w:bCs/>
          <w:sz w:val="24"/>
          <w:szCs w:val="24"/>
        </w:rPr>
        <w:t xml:space="preserve">4.4.2 </w:t>
      </w:r>
      <w:r w:rsidRPr="00DB68CB">
        <w:rPr>
          <w:b/>
          <w:bCs/>
          <w:sz w:val="24"/>
          <w:szCs w:val="24"/>
        </w:rPr>
        <w:t>Koh</w:t>
      </w:r>
      <w:r>
        <w:rPr>
          <w:b/>
          <w:bCs/>
          <w:sz w:val="24"/>
          <w:szCs w:val="24"/>
        </w:rPr>
        <w:t xml:space="preserve">a </w:t>
      </w:r>
      <w:r w:rsidRPr="00DB68CB">
        <w:rPr>
          <w:b/>
          <w:bCs/>
          <w:sz w:val="24"/>
          <w:szCs w:val="24"/>
        </w:rPr>
        <w:t xml:space="preserve">e ndërprerjes </w:t>
      </w:r>
      <w:r>
        <w:rPr>
          <w:b/>
          <w:bCs/>
          <w:sz w:val="24"/>
          <w:szCs w:val="24"/>
        </w:rPr>
        <w:t xml:space="preserve">së NOAC </w:t>
      </w:r>
      <w:r w:rsidRPr="00DB68CB">
        <w:rPr>
          <w:b/>
          <w:bCs/>
          <w:sz w:val="24"/>
          <w:szCs w:val="24"/>
        </w:rPr>
        <w:t>bazuar në klasifikim</w:t>
      </w:r>
      <w:r>
        <w:rPr>
          <w:b/>
          <w:bCs/>
          <w:sz w:val="24"/>
          <w:szCs w:val="24"/>
        </w:rPr>
        <w:t xml:space="preserve">in </w:t>
      </w:r>
      <w:r w:rsidRPr="00DB68CB">
        <w:rPr>
          <w:b/>
          <w:bCs/>
          <w:sz w:val="24"/>
          <w:szCs w:val="24"/>
        </w:rPr>
        <w:t>e rrezikut p</w:t>
      </w:r>
      <w:r>
        <w:rPr>
          <w:b/>
          <w:bCs/>
          <w:sz w:val="24"/>
          <w:szCs w:val="24"/>
        </w:rPr>
        <w:t>ë</w:t>
      </w:r>
      <w:r w:rsidRPr="00DB68CB">
        <w:rPr>
          <w:b/>
          <w:bCs/>
          <w:sz w:val="24"/>
          <w:szCs w:val="24"/>
        </w:rPr>
        <w:t xml:space="preserve">r hemorragji </w:t>
      </w:r>
    </w:p>
    <w:p w14:paraId="42E4E2F8" w14:textId="77777777" w:rsidR="009E1860" w:rsidRDefault="009E1860" w:rsidP="009E1860">
      <w:pPr>
        <w:rPr>
          <w:sz w:val="24"/>
          <w:szCs w:val="24"/>
        </w:rPr>
      </w:pPr>
      <w:r w:rsidRPr="008F2BCE">
        <w:rPr>
          <w:sz w:val="24"/>
          <w:szCs w:val="24"/>
        </w:rPr>
        <w:t>Ndërprerja bazuar në klasifikim</w:t>
      </w:r>
      <w:r>
        <w:rPr>
          <w:sz w:val="24"/>
          <w:szCs w:val="24"/>
        </w:rPr>
        <w:t>in</w:t>
      </w:r>
      <w:r w:rsidRPr="008F2BCE">
        <w:rPr>
          <w:sz w:val="24"/>
          <w:szCs w:val="24"/>
        </w:rPr>
        <w:t xml:space="preserve"> e rrezikut për hemorragji është diskutuar në tabelën </w:t>
      </w:r>
    </w:p>
    <w:p w14:paraId="61E40E0C" w14:textId="77777777" w:rsidR="009E1860" w:rsidRPr="008F2BCE" w:rsidRDefault="009E1860" w:rsidP="009E1860">
      <w:pPr>
        <w:rPr>
          <w:sz w:val="24"/>
          <w:szCs w:val="24"/>
        </w:rPr>
      </w:pPr>
      <w:r w:rsidRPr="008F2BCE">
        <w:rPr>
          <w:sz w:val="24"/>
          <w:szCs w:val="24"/>
        </w:rPr>
        <w:t>‘Klasifikimi i nderhyrjeve kirurgjikale elektive (t</w:t>
      </w:r>
      <w:r>
        <w:rPr>
          <w:sz w:val="24"/>
          <w:szCs w:val="24"/>
        </w:rPr>
        <w:t>ë</w:t>
      </w:r>
      <w:r w:rsidRPr="008F2BCE">
        <w:rPr>
          <w:sz w:val="24"/>
          <w:szCs w:val="24"/>
        </w:rPr>
        <w:t xml:space="preserve"> planifikuara) sipas r</w:t>
      </w:r>
      <w:r>
        <w:rPr>
          <w:sz w:val="24"/>
          <w:szCs w:val="24"/>
        </w:rPr>
        <w:t>rezikut</w:t>
      </w:r>
      <w:r w:rsidRPr="008F2BCE">
        <w:rPr>
          <w:sz w:val="24"/>
          <w:szCs w:val="24"/>
        </w:rPr>
        <w:t xml:space="preserve"> hemorragjik’ dhe </w:t>
      </w:r>
      <w:r>
        <w:rPr>
          <w:sz w:val="24"/>
          <w:szCs w:val="24"/>
        </w:rPr>
        <w:t>është</w:t>
      </w:r>
      <w:r w:rsidRPr="008F2BCE">
        <w:rPr>
          <w:sz w:val="24"/>
          <w:szCs w:val="24"/>
        </w:rPr>
        <w:t xml:space="preserve"> përmbledhur në figurat 2 dhe 3.</w:t>
      </w:r>
    </w:p>
    <w:p w14:paraId="04FBC6EB" w14:textId="77777777" w:rsidR="009E1860" w:rsidRDefault="009E1860" w:rsidP="009E1860">
      <w:pPr>
        <w:rPr>
          <w:b/>
          <w:bCs/>
          <w:sz w:val="24"/>
          <w:szCs w:val="24"/>
        </w:rPr>
      </w:pPr>
      <w:r w:rsidRPr="008F2BCE">
        <w:rPr>
          <w:b/>
          <w:bCs/>
          <w:sz w:val="24"/>
          <w:szCs w:val="24"/>
        </w:rPr>
        <w:t>4.4.3 Bridging (Kalimi)</w:t>
      </w:r>
    </w:p>
    <w:p w14:paraId="4A0ACFB5" w14:textId="77777777" w:rsidR="009E1860" w:rsidRPr="00294E09" w:rsidRDefault="009E1860" w:rsidP="009E1860">
      <w:pPr>
        <w:rPr>
          <w:b/>
          <w:bCs/>
          <w:sz w:val="24"/>
          <w:szCs w:val="24"/>
        </w:rPr>
      </w:pPr>
      <w:r w:rsidRPr="00E01740">
        <w:rPr>
          <w:sz w:val="24"/>
          <w:szCs w:val="24"/>
        </w:rPr>
        <w:t>Mendohej se ndërprerja e antikoagulantit (antivitamikëve K ose NOAC-ëve) para ndërhyrjes kirurgjikale e ekspozonte pacientin ndaj një rreziku të rritur trombotik gjatë ndërhyrjes. Për ta shmangur këtë gjë, pas ndërprerjes së NOAC-ut apo antivitaminikëve K, pacienti kalohej në heparina me peshë molekulare të ulët (Low Molecular Weight Heparins – LMWH) ose heparina të pafraksionuara. Një proces i tillë njihet me emrin ‘bridging’. Por studimet dhe të dhënat nga praktika e përditshme klinike treguan se një praktikë e tille ishte e padobishme</w:t>
      </w:r>
      <w:r>
        <w:rPr>
          <w:b/>
          <w:bCs/>
          <w:sz w:val="24"/>
          <w:szCs w:val="24"/>
        </w:rPr>
        <w:t xml:space="preserve">.   </w:t>
      </w:r>
    </w:p>
    <w:p w14:paraId="1BCF1E49" w14:textId="77777777" w:rsidR="009E1860" w:rsidRDefault="009E1860" w:rsidP="009E1860">
      <w:pPr>
        <w:rPr>
          <w:sz w:val="24"/>
          <w:szCs w:val="24"/>
        </w:rPr>
      </w:pPr>
      <w:r>
        <w:rPr>
          <w:sz w:val="24"/>
          <w:szCs w:val="24"/>
        </w:rPr>
        <w:t>Për pacientët nën antivitaminikë K, kalimi në heparinë/LMWH u shoqërua me një rrezik dukshëm më të lartë të hemorragjisë madhore gjatë ndërhyrjes dhe nuk zvogëloi ngjarjet tromboembolike. Në mënyrë të ngjashme për NOAC-ët, kalimi shoqërohet me një rrezik të shtuar për hemorragji.</w:t>
      </w:r>
    </w:p>
    <w:p w14:paraId="73C98D97" w14:textId="77777777" w:rsidR="009E1860" w:rsidRDefault="009E1860" w:rsidP="009E1860">
      <w:pPr>
        <w:rPr>
          <w:sz w:val="24"/>
          <w:szCs w:val="24"/>
        </w:rPr>
      </w:pPr>
      <w:r>
        <w:rPr>
          <w:sz w:val="24"/>
          <w:szCs w:val="24"/>
        </w:rPr>
        <w:t>Bazuar në përvojën e mëparshme me antivitaminikë K, ekzistojnë shumë pak situata me rrezik të lartë, në të cilat mund të diskutohet kalimi nga një antikoagulant (me ndërprerjen e tij) në një tjetër dhe këtu përfshihen operacionet urgjente me një rrezik të lartë për hemorragji në pacientët me një ngjarje tromboembolike të kohëve të fundit (</w:t>
      </w:r>
      <w:r w:rsidRPr="00563630">
        <w:rPr>
          <w:sz w:val="24"/>
          <w:szCs w:val="24"/>
          <w:u w:val="single"/>
        </w:rPr>
        <w:t>&lt;</w:t>
      </w:r>
      <w:r>
        <w:rPr>
          <w:sz w:val="24"/>
          <w:szCs w:val="24"/>
        </w:rPr>
        <w:t xml:space="preserve"> 3 muaj) (përfshirë insultin cerebral, emboline sistemike ose trombozën venoze/embolinë pulmonare) ose në pacientë që pësuan një ngjarje embolike edhe pse NOAC u ndërpre në kohën dhe mënyrën e duhur. Në këto raste, përveç ndërprerjes "bazuar në kohë" të NOAC, kalimi në UFH-heparinë të pafraksionuar ose në dabigatran me dozë të ulët rreth operacionit - të dy këta agjentë kanë antidot me mundësi kthimi të shpejtë të efektit antikoagulues- mund të vlerësohet bazuar në një vendim ekipi multidisiplinor. Duhet të kryhen studime të mëtejshme mbi menaxhimin optimal të pacientëve të tillë me rrezik të lartë, pasi ata shpesh u përjashtuan ose ishin të nën-përfaqësuar në studimet e disponueshme që hetuan menaxhimin perioperativ të pacientëve të trajtuar me NOAC.</w:t>
      </w:r>
    </w:p>
    <w:p w14:paraId="1649C71B" w14:textId="77777777" w:rsidR="009E1860" w:rsidRDefault="009E1860" w:rsidP="009E1860">
      <w:pPr>
        <w:rPr>
          <w:sz w:val="24"/>
          <w:szCs w:val="24"/>
        </w:rPr>
      </w:pPr>
      <w:r>
        <w:rPr>
          <w:sz w:val="24"/>
          <w:szCs w:val="24"/>
        </w:rPr>
        <w:t>Në pacientët me sëmundje kronike të arterieve koronare (SAK) trajtimi me monoterapi NOAC është i sigurt dhe efektiv dhe konsiderohet terapi standarde për menaxhimin afatgjatë.</w:t>
      </w:r>
    </w:p>
    <w:p w14:paraId="276803FE" w14:textId="77777777" w:rsidR="009E1860" w:rsidRDefault="009E1860" w:rsidP="009E1860">
      <w:pPr>
        <w:rPr>
          <w:sz w:val="24"/>
          <w:szCs w:val="24"/>
        </w:rPr>
      </w:pPr>
      <w:r>
        <w:rPr>
          <w:sz w:val="24"/>
          <w:szCs w:val="24"/>
        </w:rPr>
        <w:t>Megjithatë veçanërisht pacientët me një rrezik të lartë koronar mund të jenë në rrezik për ngjarje kardiovaskulare perioperative gjatë ndërprerjes së NOAC për shkak të mbetjes pa asnjë mjekim antitrombotik.</w:t>
      </w:r>
    </w:p>
    <w:p w14:paraId="5C6DEF0E" w14:textId="77777777" w:rsidR="009E1860" w:rsidRDefault="009E1860" w:rsidP="009E1860">
      <w:pPr>
        <w:rPr>
          <w:sz w:val="24"/>
          <w:szCs w:val="24"/>
        </w:rPr>
      </w:pPr>
      <w:r>
        <w:rPr>
          <w:sz w:val="24"/>
          <w:szCs w:val="24"/>
        </w:rPr>
        <w:t>Në studimin (POISE – 2) ‘Perioperative Ishaemic Evaluation 2’, përdorimi peri-operativ i aspirinës nuk uli rrezikun e infarktit të miokardit (IM) ose vdekjes, por rriti rrezikun e hemorragjisë madhore në 10 010 pacientë të rrezikuar për komplikime vaskulare (një e treta me një histori sëmundjesh vaskulare). Megjithatë, mbetet e paqartë nëse rezultatet e këtij studimi, mund të përkthehen për pacientët me rrezik shumë të lartë për ngjarje koronare gjatë ndërprerjes perioperative të terapisë me NOAC. Një strategji me fillimin e terapisë me aspirinë para operacionit, zhvillimin e operacionit me aspirinë të vazhdueshme (me NOAC të pezulluar) dhe rifillimin e terapisë me NOAC pas operacionit (me ndërprerjen e terapisë me aspirinë) mund të vlerësohet dhe të vendoset nga një ekip multidisiplinar.  Përsëri, kërkohen studime të mëtejshme për të standartizuar menaxhimin perioperativ gjatë këtyre situatave me rrezik të lartë.</w:t>
      </w:r>
    </w:p>
    <w:p w14:paraId="0078C661" w14:textId="77777777" w:rsidR="009E1860" w:rsidRDefault="009E1860" w:rsidP="009E1860">
      <w:pPr>
        <w:rPr>
          <w:b/>
          <w:bCs/>
          <w:sz w:val="24"/>
          <w:szCs w:val="24"/>
        </w:rPr>
      </w:pPr>
    </w:p>
    <w:p w14:paraId="345F25FF" w14:textId="77777777" w:rsidR="009E1860" w:rsidRPr="006B1F9B" w:rsidRDefault="009E1860" w:rsidP="009E1860">
      <w:pPr>
        <w:rPr>
          <w:b/>
          <w:bCs/>
          <w:sz w:val="24"/>
          <w:szCs w:val="24"/>
        </w:rPr>
      </w:pPr>
      <w:r>
        <w:rPr>
          <w:b/>
          <w:bCs/>
          <w:sz w:val="24"/>
          <w:szCs w:val="24"/>
        </w:rPr>
        <w:t xml:space="preserve">4.4.4 </w:t>
      </w:r>
      <w:r w:rsidRPr="006B1F9B">
        <w:rPr>
          <w:b/>
          <w:bCs/>
          <w:sz w:val="24"/>
          <w:szCs w:val="24"/>
        </w:rPr>
        <w:t>Rinisja e terapisë NOAC pas një procedure invazive</w:t>
      </w:r>
    </w:p>
    <w:p w14:paraId="4141684D" w14:textId="77777777" w:rsidR="009E1860" w:rsidRDefault="009E1860" w:rsidP="009E1860">
      <w:pPr>
        <w:rPr>
          <w:sz w:val="24"/>
          <w:szCs w:val="24"/>
        </w:rPr>
      </w:pPr>
      <w:r>
        <w:rPr>
          <w:sz w:val="24"/>
          <w:szCs w:val="24"/>
        </w:rPr>
        <w:t>Pas një procedure me hemostazë të menjëhershme dhe të plotë, NOAC-ët në përgjithësi mund të rifillojnë 6-8 orë pas përfundimit të ndërhyrjes.</w:t>
      </w:r>
    </w:p>
    <w:p w14:paraId="054B2DF3" w14:textId="77777777" w:rsidR="009E1860" w:rsidRDefault="009E1860" w:rsidP="009E1860">
      <w:pPr>
        <w:rPr>
          <w:sz w:val="24"/>
          <w:szCs w:val="24"/>
        </w:rPr>
      </w:pPr>
      <w:r>
        <w:rPr>
          <w:sz w:val="24"/>
          <w:szCs w:val="24"/>
        </w:rPr>
        <w:t xml:space="preserve">Megjithatë, në disa ndërhyrje kirurgjikale, rifillimi i dozës së plotë të antikoagulantit brenda 48-72 orëve të para pas procedurës mund të sjellë një rrezik të rritur për hemorragji, rrezik ky që tejkalon rrezikun e insultit nga fibrilacioni atrial. Në raste të tilla, mund të merret parasysh tromboprofilaksia postoperative me LMWH në dozë profilaktike 6-8 orë pas operacionit, duke shtyrë rinisjen e NOAC </w:t>
      </w:r>
      <w:r w:rsidRPr="00543BB6">
        <w:rPr>
          <w:sz w:val="24"/>
          <w:szCs w:val="24"/>
          <w:u w:val="single"/>
        </w:rPr>
        <w:t>&gt;</w:t>
      </w:r>
      <w:r>
        <w:rPr>
          <w:sz w:val="24"/>
          <w:szCs w:val="24"/>
        </w:rPr>
        <w:t xml:space="preserve"> 48–72 orë. Në mënyrë të ngjashme, në pacientët në të cilët marrja nga goja e barit nuk është e mundur (p.sh. në rastin e ventilimit artificial, të përzierave postoperative, të vjellave, ileus etj.) duhet të merret parasysh administrimi i heparinës. Në të kundërt, nuk ka të dhëna për sigurinë dhe efikasitetin e përdorimit pas operacionit të një doze të reduktuar të NOAC (siç përdoret për parandalimin e tromboembolisë venoze pas zëvendësimit të kokës së femurit/gjurit) në pacientët me fibrilacion atrial që i nënshtrohen një procedure kirurgjikale.</w:t>
      </w:r>
    </w:p>
    <w:p w14:paraId="302E8883" w14:textId="77777777" w:rsidR="009E1860" w:rsidRDefault="009E1860" w:rsidP="009E1860">
      <w:pPr>
        <w:rPr>
          <w:b/>
          <w:bCs/>
          <w:sz w:val="24"/>
          <w:szCs w:val="24"/>
        </w:rPr>
      </w:pPr>
    </w:p>
    <w:p w14:paraId="0437DD24" w14:textId="77777777" w:rsidR="009E1860" w:rsidRPr="00EE517D" w:rsidRDefault="009E1860" w:rsidP="009E1860">
      <w:pPr>
        <w:rPr>
          <w:b/>
          <w:bCs/>
          <w:sz w:val="24"/>
          <w:szCs w:val="24"/>
        </w:rPr>
      </w:pPr>
      <w:bookmarkStart w:id="6" w:name="_Hlk92300365"/>
      <w:r>
        <w:rPr>
          <w:b/>
          <w:bCs/>
          <w:sz w:val="24"/>
          <w:szCs w:val="24"/>
        </w:rPr>
        <w:t xml:space="preserve">4.4.5 </w:t>
      </w:r>
      <w:r w:rsidRPr="00EE517D">
        <w:rPr>
          <w:b/>
          <w:bCs/>
          <w:sz w:val="24"/>
          <w:szCs w:val="24"/>
        </w:rPr>
        <w:t>Konsiderata të veçanta për procedurat e ablacionit</w:t>
      </w:r>
      <w:r>
        <w:rPr>
          <w:b/>
          <w:bCs/>
          <w:sz w:val="24"/>
          <w:szCs w:val="24"/>
        </w:rPr>
        <w:t xml:space="preserve">* </w:t>
      </w:r>
      <w:r w:rsidRPr="00EE517D">
        <w:rPr>
          <w:b/>
          <w:bCs/>
          <w:sz w:val="24"/>
          <w:szCs w:val="24"/>
        </w:rPr>
        <w:t>të fibrilacionit atrial</w:t>
      </w:r>
    </w:p>
    <w:bookmarkEnd w:id="6"/>
    <w:p w14:paraId="6E2B4F7E" w14:textId="77777777" w:rsidR="009E1860" w:rsidRDefault="009E1860" w:rsidP="009E1860">
      <w:pPr>
        <w:rPr>
          <w:sz w:val="24"/>
          <w:szCs w:val="24"/>
        </w:rPr>
      </w:pPr>
      <w:r>
        <w:rPr>
          <w:sz w:val="24"/>
          <w:szCs w:val="24"/>
        </w:rPr>
        <w:t xml:space="preserve">Ablacioni me kateter i atriumit të majtë është një ndërhyrje me rrezik të lartë për hemorragji madhore në ijë (në vendin ku futet kateteri), si dhe për hemorragji serioze dytësore pas </w:t>
      </w:r>
      <w:bookmarkStart w:id="7" w:name="_Hlk92309787"/>
      <w:r>
        <w:rPr>
          <w:sz w:val="24"/>
          <w:szCs w:val="24"/>
        </w:rPr>
        <w:t>punksionit transseptal (TSP</w:t>
      </w:r>
      <w:bookmarkEnd w:id="7"/>
      <w:r>
        <w:rPr>
          <w:sz w:val="24"/>
          <w:szCs w:val="24"/>
        </w:rPr>
        <w:t>)** dhe ablimit në atriumin e majtë (megjithëse incidenca e këtyre komplikimeve ka qenë në rënie, veçanërisht në qëndrat me përvojë). Nga ana tjetër, ndërhyrja rrit drejtpërdrejt rrezikun e komplikimeve tromboembolike. Deklaratat dhe udhëzimet e fundit ndërkombëtare konsensuale rekomandojnë kryerjen e ablacionit me kateter në atriumin e majtë nën trajtim të pandërprerë me antikoagulantë (objektivi INR 2.0–2.5 nëse kryhet me antivitaminikë K), pasi një strategji e tillë ishte e lidhur me më pak ngjarje tromboembolike dhe më pak hemorragji në krahasim me ndërprerjen e antikoagulantit oral dhe kryerjen e procedurës nën heparinë (shiko me lart, në kapitullin 4.4.3, konceptin e bridging). N</w:t>
      </w:r>
      <w:r w:rsidRPr="00D67B8E">
        <w:rPr>
          <w:sz w:val="24"/>
          <w:szCs w:val="24"/>
        </w:rPr>
        <w:t>ë studime klinike rastesore të dedikuara për apixaban, dabigatran, edoxaban</w:t>
      </w:r>
      <w:r>
        <w:rPr>
          <w:sz w:val="24"/>
          <w:szCs w:val="24"/>
        </w:rPr>
        <w:t>, është ekzaminuar se cil</w:t>
      </w:r>
      <w:r w:rsidRPr="00E01740">
        <w:rPr>
          <w:sz w:val="24"/>
          <w:szCs w:val="24"/>
        </w:rPr>
        <w:t>ë</w:t>
      </w:r>
      <w:r>
        <w:rPr>
          <w:sz w:val="24"/>
          <w:szCs w:val="24"/>
        </w:rPr>
        <w:t xml:space="preserve">t janë më efikasë dhe të sigurt për kryerjen e ablacionit të fibrilacionit atrial, NOAC-ët apo antivitaminikët K. </w:t>
      </w:r>
      <w:r w:rsidRPr="00BC6C64">
        <w:rPr>
          <w:sz w:val="24"/>
          <w:szCs w:val="24"/>
        </w:rPr>
        <w:t>Doza e fundit e NOAC-ve që merren një herë në ditë u rekomandua (rivaroxaban) ose u detyrua</w:t>
      </w:r>
      <w:r>
        <w:rPr>
          <w:sz w:val="24"/>
          <w:szCs w:val="24"/>
        </w:rPr>
        <w:t xml:space="preserve"> (edoxaban) të administrohej në mbrëmjen para procedurës, ndërsa NOAC-ët e dozuar dy herë në ditë (apixaban, dabigatran) u administruan në mëngjesin e procedurës. Rezultatet e këtyre studimeve treguan se hemorragjitë madhore ishin në përgjithësi më të ulëta me NOAC në krahasim me antivitaminikët K, ndërsa ngjarjet tromboembolike ishin të ngjashme në të dy grupet. Po kështu, një meta-analizë e fundit e 29 studimeve që përfshinin mbi 12 000 pacientë, konfirmoi një shkallë më të ulët të ngjarjeve hemorragjike me NOAC kundrejt antivitaminikëve K, me një shkallë të ngjashme (të ulët) të komplikimeve tromboembolike. Kështu, terapia e pandërprerë me NOAC mund të konsiderohet e sigurt dhe efektive në ablacionin e fibrilacionit atrial dhe ka të ngjarë të jetë mënyra e preferuar e antikoagulimit për pacientët që i nënshtrohen kësaj procedure.</w:t>
      </w:r>
    </w:p>
    <w:p w14:paraId="0E95956E" w14:textId="77777777" w:rsidR="009E1860" w:rsidRPr="001D58FE" w:rsidRDefault="009E1860" w:rsidP="009E1860">
      <w:pPr>
        <w:rPr>
          <w:sz w:val="24"/>
          <w:szCs w:val="24"/>
        </w:rPr>
      </w:pPr>
    </w:p>
    <w:p w14:paraId="1B924BCB" w14:textId="77777777" w:rsidR="009E1860" w:rsidRDefault="009E1860" w:rsidP="009E1860">
      <w:pPr>
        <w:rPr>
          <w:sz w:val="20"/>
          <w:szCs w:val="20"/>
        </w:rPr>
      </w:pPr>
      <w:r w:rsidRPr="00952084">
        <w:rPr>
          <w:sz w:val="20"/>
          <w:szCs w:val="20"/>
        </w:rPr>
        <w:t xml:space="preserve">* </w:t>
      </w:r>
      <w:r w:rsidRPr="00952084">
        <w:rPr>
          <w:i/>
          <w:iCs/>
          <w:sz w:val="20"/>
          <w:szCs w:val="20"/>
        </w:rPr>
        <w:t>Ablacioni kardiak është një procedurë që kryhet vetëm nga kardiologë të specializuar për ndërhyrje kardiake. Procedura përfshin filetimin/futjen e kateterëve (tuba të hollë, të gjata fleksibël) në zemër, përmes një ene gjaku (hyrja mund të kryhet nga një enë e madhe gjaku në kofshë</w:t>
      </w:r>
      <w:r>
        <w:rPr>
          <w:i/>
          <w:iCs/>
          <w:sz w:val="20"/>
          <w:szCs w:val="20"/>
        </w:rPr>
        <w:t>-nëpërmjet venës femorale</w:t>
      </w:r>
      <w:r w:rsidRPr="00952084">
        <w:rPr>
          <w:i/>
          <w:iCs/>
          <w:sz w:val="20"/>
          <w:szCs w:val="20"/>
        </w:rPr>
        <w:t>, në krah ose n</w:t>
      </w:r>
      <w:r>
        <w:rPr>
          <w:i/>
          <w:iCs/>
          <w:sz w:val="20"/>
          <w:szCs w:val="20"/>
        </w:rPr>
        <w:t>ë</w:t>
      </w:r>
      <w:r w:rsidRPr="00952084">
        <w:rPr>
          <w:i/>
          <w:iCs/>
          <w:sz w:val="20"/>
          <w:szCs w:val="20"/>
        </w:rPr>
        <w:t xml:space="preserve"> qaf</w:t>
      </w:r>
      <w:r>
        <w:rPr>
          <w:i/>
          <w:iCs/>
          <w:sz w:val="20"/>
          <w:szCs w:val="20"/>
        </w:rPr>
        <w:t>ë</w:t>
      </w:r>
      <w:r w:rsidRPr="00952084">
        <w:rPr>
          <w:i/>
          <w:iCs/>
          <w:sz w:val="20"/>
          <w:szCs w:val="20"/>
        </w:rPr>
        <w:t xml:space="preserve"> ngjashëm me procedurën e koronarografisë). Kateteri është i pajisur me elektroda që komandohen nga jashtë. Me arritjen e kateterit në zemër, kardiologu lëshon impulse elektrike duke shkaktuar shpërthime energjie me radiofrekuencë dhe shikon se cila zonë e zemrës hiperaktivizohet. Kjo zonë është përgjegjëse për shpërthimin e fibrilaciont atrial apo disa formave të tjera të aritmive. Impulset elektrike me energji të lartë drejtohen dhe “djegin”/shkatërrojnë ato seksione të vogla të indeve jonormale të zemrës përgjegjëse për rrahjet e parregullta.</w:t>
      </w:r>
      <w:r w:rsidRPr="00952084">
        <w:rPr>
          <w:sz w:val="20"/>
          <w:szCs w:val="20"/>
        </w:rPr>
        <w:t xml:space="preserve"> (</w:t>
      </w:r>
      <w:hyperlink r:id="rId30" w:history="1">
        <w:r w:rsidRPr="00952084">
          <w:rPr>
            <w:color w:val="0000FF"/>
            <w:sz w:val="20"/>
            <w:szCs w:val="20"/>
            <w:u w:val="single"/>
          </w:rPr>
          <w:t>Cardiac ablation - Mayo Clinic</w:t>
        </w:r>
      </w:hyperlink>
      <w:r w:rsidRPr="00952084">
        <w:rPr>
          <w:sz w:val="20"/>
          <w:szCs w:val="20"/>
        </w:rPr>
        <w:t>)</w:t>
      </w:r>
    </w:p>
    <w:p w14:paraId="56727260" w14:textId="77777777" w:rsidR="009E1860" w:rsidRPr="009A1C28" w:rsidRDefault="009E1860" w:rsidP="009E1860">
      <w:pPr>
        <w:shd w:val="clear" w:color="auto" w:fill="FFFFFF"/>
        <w:spacing w:after="0" w:line="319" w:lineRule="atLeast"/>
        <w:rPr>
          <w:i/>
          <w:iCs/>
          <w:sz w:val="20"/>
          <w:szCs w:val="20"/>
        </w:rPr>
      </w:pPr>
      <w:r>
        <w:rPr>
          <w:i/>
          <w:iCs/>
          <w:sz w:val="20"/>
          <w:szCs w:val="20"/>
        </w:rPr>
        <w:t xml:space="preserve">** </w:t>
      </w:r>
      <w:r w:rsidRPr="009A1C28">
        <w:rPr>
          <w:i/>
          <w:iCs/>
          <w:sz w:val="20"/>
          <w:szCs w:val="20"/>
        </w:rPr>
        <w:t>** Punksioni transseptal (punksioni n</w:t>
      </w:r>
      <w:r>
        <w:rPr>
          <w:i/>
          <w:iCs/>
          <w:sz w:val="20"/>
          <w:szCs w:val="20"/>
        </w:rPr>
        <w:t>ë</w:t>
      </w:r>
      <w:r w:rsidRPr="009A1C28">
        <w:rPr>
          <w:i/>
          <w:iCs/>
          <w:sz w:val="20"/>
          <w:szCs w:val="20"/>
        </w:rPr>
        <w:t xml:space="preserve"> murin q</w:t>
      </w:r>
      <w:r>
        <w:rPr>
          <w:i/>
          <w:iCs/>
          <w:sz w:val="20"/>
          <w:szCs w:val="20"/>
        </w:rPr>
        <w:t>ë</w:t>
      </w:r>
      <w:r w:rsidRPr="009A1C28">
        <w:rPr>
          <w:i/>
          <w:iCs/>
          <w:sz w:val="20"/>
          <w:szCs w:val="20"/>
        </w:rPr>
        <w:t xml:space="preserve"> ndan atriumin e majt</w:t>
      </w:r>
      <w:r>
        <w:rPr>
          <w:i/>
          <w:iCs/>
          <w:sz w:val="20"/>
          <w:szCs w:val="20"/>
        </w:rPr>
        <w:t>ë</w:t>
      </w:r>
      <w:r w:rsidRPr="009A1C28">
        <w:rPr>
          <w:i/>
          <w:iCs/>
          <w:sz w:val="20"/>
          <w:szCs w:val="20"/>
        </w:rPr>
        <w:t xml:space="preserve"> nga atriumi i djatht</w:t>
      </w:r>
      <w:r>
        <w:rPr>
          <w:i/>
          <w:iCs/>
          <w:sz w:val="20"/>
          <w:szCs w:val="20"/>
        </w:rPr>
        <w:t>ë</w:t>
      </w:r>
      <w:r w:rsidRPr="009A1C28">
        <w:rPr>
          <w:i/>
          <w:iCs/>
          <w:sz w:val="20"/>
          <w:szCs w:val="20"/>
        </w:rPr>
        <w:t>) është një procedurë rutinë për elektrofiziologët kardiak për të hyrë në atriumin e majtë, kryesisht për ablacionin/heqjen e fibrilacionit atrial.</w:t>
      </w:r>
    </w:p>
    <w:p w14:paraId="7F9ABF96" w14:textId="77777777" w:rsidR="009E1860" w:rsidRPr="009A1C28" w:rsidRDefault="009E1860" w:rsidP="009E1860">
      <w:pPr>
        <w:shd w:val="clear" w:color="auto" w:fill="FFFFFF"/>
        <w:spacing w:after="0" w:line="240" w:lineRule="auto"/>
        <w:rPr>
          <w:i/>
          <w:iCs/>
          <w:sz w:val="20"/>
          <w:szCs w:val="20"/>
        </w:rPr>
      </w:pPr>
    </w:p>
    <w:p w14:paraId="6EB4E137" w14:textId="77777777" w:rsidR="009E1860" w:rsidRPr="00962267" w:rsidRDefault="009E1860" w:rsidP="009E1860">
      <w:pPr>
        <w:rPr>
          <w:sz w:val="20"/>
          <w:szCs w:val="20"/>
        </w:rPr>
      </w:pPr>
    </w:p>
    <w:p w14:paraId="2C30E169" w14:textId="77777777" w:rsidR="009E1860" w:rsidRDefault="009E1860" w:rsidP="009E1860">
      <w:pPr>
        <w:rPr>
          <w:sz w:val="24"/>
          <w:szCs w:val="24"/>
        </w:rPr>
      </w:pPr>
    </w:p>
    <w:p w14:paraId="6A44384F" w14:textId="77777777" w:rsidR="009E1860" w:rsidRDefault="009E1860" w:rsidP="009E1860">
      <w:pPr>
        <w:rPr>
          <w:sz w:val="24"/>
          <w:szCs w:val="24"/>
        </w:rPr>
      </w:pPr>
    </w:p>
    <w:p w14:paraId="56310D42" w14:textId="77777777" w:rsidR="009E1860" w:rsidRDefault="009E1860" w:rsidP="009E1860">
      <w:pPr>
        <w:rPr>
          <w:sz w:val="24"/>
          <w:szCs w:val="24"/>
        </w:rPr>
      </w:pPr>
      <w:r w:rsidRPr="009A1C28">
        <w:rPr>
          <w:sz w:val="24"/>
          <w:szCs w:val="24"/>
        </w:rPr>
        <w:t xml:space="preserve">Duhet të zhvillohet një protokoll institucional për pacientët me NOAC që i nënshtrohen ablacionit të </w:t>
      </w:r>
      <w:r>
        <w:rPr>
          <w:sz w:val="24"/>
          <w:szCs w:val="24"/>
        </w:rPr>
        <w:t>fibrilacionit atrial</w:t>
      </w:r>
      <w:r w:rsidRPr="009A1C28">
        <w:rPr>
          <w:sz w:val="24"/>
          <w:szCs w:val="24"/>
        </w:rPr>
        <w:t xml:space="preserve"> për të siguruar një qasje uniforme. Për të imituar sa më shumë situatën e studimeve klinike, duhet rekomanduar që NOAC-ët që merren një herë në ditë, të merren në mbrëmj</w:t>
      </w:r>
      <w:r>
        <w:rPr>
          <w:sz w:val="24"/>
          <w:szCs w:val="24"/>
        </w:rPr>
        <w:t>e</w:t>
      </w:r>
      <w:r w:rsidRPr="009A1C28">
        <w:rPr>
          <w:sz w:val="24"/>
          <w:szCs w:val="24"/>
        </w:rPr>
        <w:t xml:space="preserve"> shumë kohë përpara (p.sh. 1 javë) ndërhyrjes. Për NOAC-ët që përdoren dy herë në ditë mund të zgjidhet të administrohet doza e fundit pak para procedurës (p.sh. 'vërtet e pandërprerë') ose të kryhet një ndërprerje e shkurtër (doza e fundit </w:t>
      </w:r>
      <w:r>
        <w:rPr>
          <w:sz w:val="24"/>
          <w:szCs w:val="24"/>
        </w:rPr>
        <w:t xml:space="preserve">e </w:t>
      </w:r>
      <w:r w:rsidRPr="009A1C28">
        <w:rPr>
          <w:sz w:val="24"/>
          <w:szCs w:val="24"/>
        </w:rPr>
        <w:t>NOAC në mbrëmjen para procedurës).</w:t>
      </w:r>
    </w:p>
    <w:p w14:paraId="32D67FA9" w14:textId="77777777" w:rsidR="009E1860" w:rsidRDefault="009E1860" w:rsidP="009E1860">
      <w:pPr>
        <w:rPr>
          <w:sz w:val="24"/>
          <w:szCs w:val="24"/>
        </w:rPr>
      </w:pPr>
      <w:r>
        <w:rPr>
          <w:sz w:val="24"/>
          <w:szCs w:val="24"/>
        </w:rPr>
        <w:t xml:space="preserve"> Zgjedhja mund të varet nga një sërë faktorësh duke përfshirë funksionin e veshkave, një praktikë rutinë të administrimit të heparinës përpara </w:t>
      </w:r>
      <w:r w:rsidRPr="00054A2E">
        <w:rPr>
          <w:sz w:val="24"/>
          <w:szCs w:val="24"/>
        </w:rPr>
        <w:t xml:space="preserve">punksionit transseptal </w:t>
      </w:r>
      <w:r>
        <w:rPr>
          <w:sz w:val="24"/>
          <w:szCs w:val="24"/>
        </w:rPr>
        <w:t xml:space="preserve">(të parë) dhe administrimit të protaminës përpara heqjes së mbështjellësit. Veçanërish në rastin e fundit, nëse është zgjedhur që të mos jepet doza e mëngjesit, pacientët mund të ekspozohen ndaj niveleve të ulëta antikoaguluese pas procedurës. Megjithatë, nuk disponohen studime të randomizuara klinike që të krahasojnë strategjitë e ndërprerjes së ‘vërtetë’ të NOAC përkundrejt asaj 'minimale'. Në studimin RE-CIRCUIT, pesë hemorragjitë madhore të ndodhura në krahun e dabigatranit ndodhën të gjitha në pacientët me </w:t>
      </w:r>
      <w:r w:rsidRPr="009D3381">
        <w:rPr>
          <w:sz w:val="24"/>
          <w:szCs w:val="24"/>
          <w:u w:val="single"/>
        </w:rPr>
        <w:t>&lt;</w:t>
      </w:r>
      <w:r>
        <w:rPr>
          <w:sz w:val="24"/>
          <w:szCs w:val="24"/>
        </w:rPr>
        <w:t>4 orë (n=2) ose 4-8 orë (n= 3) që nga marrja e fundit e dabigatranit. Për më tepër, 19.6% e të gjithë pacientëve që morën dabigatran e patën marrjen e fundit të barit &gt;8 orë para procedurës që rezulton në një kohëzgjatje të ngjashme të ndërprerjes si në NOAC me përdorim një herë në ditë, me marrjen e fundit në mbrëmjen para procedurës.</w:t>
      </w:r>
    </w:p>
    <w:p w14:paraId="69EC3256" w14:textId="77777777" w:rsidR="009E1860" w:rsidRDefault="009E1860" w:rsidP="009E1860">
      <w:pPr>
        <w:rPr>
          <w:sz w:val="24"/>
          <w:szCs w:val="24"/>
        </w:rPr>
      </w:pPr>
      <w:r>
        <w:rPr>
          <w:sz w:val="24"/>
          <w:szCs w:val="24"/>
        </w:rPr>
        <w:t>Për rrjedhojë, anashkalimi i dozës së mëngjesit në ditën e ablacionit mund të jetë një opsion i vlefshëm për NOAC-ët që dozohen dy herë në ditë.</w:t>
      </w:r>
    </w:p>
    <w:p w14:paraId="2553F312" w14:textId="77777777" w:rsidR="009E1860" w:rsidRDefault="009E1860" w:rsidP="009E1860">
      <w:pPr>
        <w:rPr>
          <w:sz w:val="24"/>
          <w:szCs w:val="24"/>
        </w:rPr>
      </w:pPr>
      <w:r>
        <w:rPr>
          <w:sz w:val="24"/>
          <w:szCs w:val="24"/>
        </w:rPr>
        <w:t>Marrja e NOAC mund të rifillojë 3-5 orë pas heqjes së mbështjellësit nëse vendoset hemostaza adekuate dhe është përjashtuar efuzioni i perikardit.</w:t>
      </w:r>
    </w:p>
    <w:p w14:paraId="20A0CD9C" w14:textId="77777777" w:rsidR="009E1860" w:rsidRDefault="009E1860" w:rsidP="009E1860">
      <w:pPr>
        <w:rPr>
          <w:sz w:val="24"/>
          <w:szCs w:val="24"/>
        </w:rPr>
      </w:pPr>
    </w:p>
    <w:p w14:paraId="53FCABDE" w14:textId="77777777" w:rsidR="009E1860" w:rsidRDefault="009E1860" w:rsidP="009E1860">
      <w:pPr>
        <w:rPr>
          <w:sz w:val="24"/>
          <w:szCs w:val="24"/>
        </w:rPr>
      </w:pPr>
    </w:p>
    <w:p w14:paraId="1F5A4775" w14:textId="77777777" w:rsidR="009E1860" w:rsidRDefault="009E1860" w:rsidP="009E1860">
      <w:pPr>
        <w:rPr>
          <w:sz w:val="24"/>
          <w:szCs w:val="24"/>
        </w:rPr>
      </w:pPr>
    </w:p>
    <w:p w14:paraId="657404E1" w14:textId="77777777" w:rsidR="009E1860" w:rsidRDefault="009E1860" w:rsidP="009E1860">
      <w:pPr>
        <w:rPr>
          <w:sz w:val="24"/>
          <w:szCs w:val="24"/>
        </w:rPr>
      </w:pPr>
    </w:p>
    <w:p w14:paraId="2EEC207A" w14:textId="77777777" w:rsidR="009E1860" w:rsidRDefault="009E1860" w:rsidP="009E1860">
      <w:pPr>
        <w:rPr>
          <w:sz w:val="24"/>
          <w:szCs w:val="24"/>
        </w:rPr>
      </w:pPr>
    </w:p>
    <w:p w14:paraId="33A6C203" w14:textId="77777777" w:rsidR="009E1860" w:rsidRDefault="009E1860" w:rsidP="009E1860">
      <w:pPr>
        <w:rPr>
          <w:sz w:val="24"/>
          <w:szCs w:val="24"/>
        </w:rPr>
      </w:pPr>
    </w:p>
    <w:p w14:paraId="1F6DB0D4" w14:textId="77777777" w:rsidR="009E1860" w:rsidRDefault="009E1860" w:rsidP="009E1860">
      <w:pPr>
        <w:rPr>
          <w:sz w:val="24"/>
          <w:szCs w:val="24"/>
        </w:rPr>
      </w:pPr>
    </w:p>
    <w:p w14:paraId="4E257049" w14:textId="77777777" w:rsidR="009E1860" w:rsidRDefault="009E1860" w:rsidP="009E1860">
      <w:pPr>
        <w:rPr>
          <w:sz w:val="24"/>
          <w:szCs w:val="24"/>
        </w:rPr>
      </w:pPr>
    </w:p>
    <w:p w14:paraId="0D516E00" w14:textId="77777777" w:rsidR="009E1860" w:rsidRDefault="009E1860" w:rsidP="009E1860">
      <w:pPr>
        <w:rPr>
          <w:noProof/>
        </w:rPr>
      </w:pPr>
    </w:p>
    <w:p w14:paraId="07F5A270" w14:textId="77777777" w:rsidR="009E1860" w:rsidRDefault="009E1860" w:rsidP="009E1860">
      <w:pPr>
        <w:ind w:left="-630"/>
        <w:rPr>
          <w:noProof/>
        </w:rPr>
      </w:pPr>
    </w:p>
    <w:p w14:paraId="75654B25" w14:textId="77777777" w:rsidR="009E1860" w:rsidRPr="007122E1" w:rsidRDefault="009E1860" w:rsidP="009E1860">
      <w:pPr>
        <w:ind w:left="-630"/>
        <w:rPr>
          <w:b/>
          <w:bCs/>
          <w:noProof/>
        </w:rPr>
      </w:pPr>
      <w:r>
        <w:rPr>
          <w:noProof/>
        </w:rPr>
        <w:t xml:space="preserve">                                </w:t>
      </w:r>
    </w:p>
    <w:p w14:paraId="4A00CDF1" w14:textId="77777777" w:rsidR="009E1860" w:rsidRDefault="009E1860" w:rsidP="009E1860">
      <w:pPr>
        <w:rPr>
          <w:b/>
          <w:bCs/>
          <w:sz w:val="24"/>
          <w:szCs w:val="24"/>
        </w:rPr>
      </w:pPr>
    </w:p>
    <w:p w14:paraId="1BE96800" w14:textId="77777777" w:rsidR="009E1860" w:rsidRPr="009D3381" w:rsidRDefault="009E1860" w:rsidP="009E1860">
      <w:pPr>
        <w:rPr>
          <w:b/>
          <w:bCs/>
          <w:sz w:val="24"/>
          <w:szCs w:val="24"/>
        </w:rPr>
      </w:pPr>
      <w:bookmarkStart w:id="8" w:name="_Hlk92300409"/>
      <w:r>
        <w:rPr>
          <w:b/>
          <w:bCs/>
          <w:sz w:val="24"/>
          <w:szCs w:val="24"/>
        </w:rPr>
        <w:t xml:space="preserve">4.4.6 </w:t>
      </w:r>
      <w:r w:rsidRPr="009D3381">
        <w:rPr>
          <w:b/>
          <w:bCs/>
          <w:sz w:val="24"/>
          <w:szCs w:val="24"/>
        </w:rPr>
        <w:t>Konsiderata të veçanta për procedurat e kardiokirurgjisë</w:t>
      </w:r>
    </w:p>
    <w:bookmarkEnd w:id="8"/>
    <w:p w14:paraId="64478C7C" w14:textId="77777777" w:rsidR="009E1860" w:rsidRPr="00E62E36" w:rsidRDefault="009E1860" w:rsidP="009E1860">
      <w:pPr>
        <w:rPr>
          <w:b/>
          <w:bCs/>
          <w:sz w:val="24"/>
          <w:szCs w:val="24"/>
        </w:rPr>
      </w:pPr>
      <w:r w:rsidRPr="009D3381">
        <w:rPr>
          <w:b/>
          <w:bCs/>
          <w:sz w:val="24"/>
          <w:szCs w:val="24"/>
        </w:rPr>
        <w:t>Ndërprerja dhe rifillimi i NOAC-</w:t>
      </w:r>
      <w:r>
        <w:rPr>
          <w:b/>
          <w:bCs/>
          <w:sz w:val="24"/>
          <w:szCs w:val="24"/>
        </w:rPr>
        <w:t>ë</w:t>
      </w:r>
      <w:r w:rsidRPr="009D3381">
        <w:rPr>
          <w:b/>
          <w:bCs/>
          <w:sz w:val="24"/>
          <w:szCs w:val="24"/>
        </w:rPr>
        <w:t>ve rreth kardiokirurgjisë</w:t>
      </w:r>
    </w:p>
    <w:p w14:paraId="27E54BA3" w14:textId="77777777" w:rsidR="009E1860" w:rsidRPr="00BC6C64" w:rsidRDefault="009E1860" w:rsidP="009E1860">
      <w:pPr>
        <w:rPr>
          <w:sz w:val="24"/>
          <w:szCs w:val="24"/>
        </w:rPr>
      </w:pPr>
      <w:r w:rsidRPr="00BC6C64">
        <w:rPr>
          <w:sz w:val="24"/>
          <w:szCs w:val="24"/>
        </w:rPr>
        <w:t>Kardiokirurgjia e planifikuar në pacientët me NOAC bie në kategorinë 'e kuqe' të procedurave me rrezik të lartë (dmth. me rrezik për hemorragji të shpeshtë dhe/ose me ndikim të lartë), siç tregohet në Tabelën ‘Klasifikimi i nd</w:t>
      </w:r>
      <w:r>
        <w:rPr>
          <w:sz w:val="24"/>
          <w:szCs w:val="24"/>
        </w:rPr>
        <w:t>ër</w:t>
      </w:r>
      <w:r w:rsidRPr="00BC6C64">
        <w:rPr>
          <w:sz w:val="24"/>
          <w:szCs w:val="24"/>
        </w:rPr>
        <w:t>hyrjeve kirurgjikale elektive (t</w:t>
      </w:r>
      <w:r>
        <w:rPr>
          <w:sz w:val="24"/>
          <w:szCs w:val="24"/>
        </w:rPr>
        <w:t>ë</w:t>
      </w:r>
      <w:r w:rsidRPr="00BC6C64">
        <w:rPr>
          <w:sz w:val="24"/>
          <w:szCs w:val="24"/>
        </w:rPr>
        <w:t xml:space="preserve"> planifikuara) sipas riskut hemorragjik’ dhe Figurat 2 dhe 3.</w:t>
      </w:r>
    </w:p>
    <w:p w14:paraId="229376D8" w14:textId="77777777" w:rsidR="009E1860" w:rsidRDefault="009E1860" w:rsidP="009E1860">
      <w:pPr>
        <w:rPr>
          <w:sz w:val="24"/>
          <w:szCs w:val="24"/>
        </w:rPr>
      </w:pPr>
      <w:r w:rsidRPr="00BC6C64">
        <w:rPr>
          <w:sz w:val="24"/>
          <w:szCs w:val="24"/>
        </w:rPr>
        <w:t xml:space="preserve">Prandaj, zbatohet një kohë standarde e ndërprerjes prej 48 orësh, gjithashtu sipas </w:t>
      </w:r>
      <w:bookmarkStart w:id="9" w:name="_Hlk92309921"/>
      <w:r w:rsidRPr="00BC6C64">
        <w:rPr>
          <w:sz w:val="24"/>
          <w:szCs w:val="24"/>
        </w:rPr>
        <w:t>Udhëzimeve të Shoqatës Evropiane për Kirurgjinë Kardio-Thorakale (EACTS)</w:t>
      </w:r>
      <w:bookmarkEnd w:id="9"/>
      <w:r w:rsidRPr="00BC6C64">
        <w:rPr>
          <w:sz w:val="24"/>
          <w:szCs w:val="24"/>
        </w:rPr>
        <w:t xml:space="preserve">, por kohët më të gjata të ndërprerjes prej 72-96 orë mund të merren parasysh në pacientët </w:t>
      </w:r>
      <w:r>
        <w:rPr>
          <w:sz w:val="24"/>
          <w:szCs w:val="24"/>
        </w:rPr>
        <w:t xml:space="preserve">që kanë </w:t>
      </w:r>
      <w:r w:rsidRPr="00BC6C64">
        <w:rPr>
          <w:sz w:val="24"/>
          <w:szCs w:val="24"/>
        </w:rPr>
        <w:t xml:space="preserve">rrezik </w:t>
      </w:r>
      <w:r>
        <w:rPr>
          <w:sz w:val="24"/>
          <w:szCs w:val="24"/>
        </w:rPr>
        <w:t xml:space="preserve">për </w:t>
      </w:r>
      <w:r w:rsidRPr="00BC6C64">
        <w:rPr>
          <w:sz w:val="24"/>
          <w:szCs w:val="24"/>
        </w:rPr>
        <w:t xml:space="preserve">akumulim të NOAC (p.sh. pacientët e moshuar, </w:t>
      </w:r>
      <w:r>
        <w:rPr>
          <w:sz w:val="24"/>
          <w:szCs w:val="24"/>
        </w:rPr>
        <w:t>ata më sëmundje renale kronike</w:t>
      </w:r>
      <w:r w:rsidRPr="00BC6C64">
        <w:rPr>
          <w:sz w:val="24"/>
          <w:szCs w:val="24"/>
        </w:rPr>
        <w:t xml:space="preserve"> etj.). Vlen të përmendet, nëse NOAC-ët ndërpriten për &gt;72 orë, gjasat për ndonjë nivel të mbetur të barit në gjak janë shumë të ulta, duke përjashtuar kështu domosdoshmërinë e vlerësimit sasior të barit në gjak përvec skenarëve me rrezik shumë të lartë të akumulimit të barit (p.sh. reduktim i rëndë i funksionit renal). E</w:t>
      </w:r>
      <w:r>
        <w:rPr>
          <w:sz w:val="24"/>
          <w:szCs w:val="24"/>
        </w:rPr>
        <w:t xml:space="preserve"> rëndësishme është të theksohet se ashtu si për shumicën e situatave të tjera, nuk rekomandohet kalimi/bridging në LMWH para operacionit për pacientët që do të kryerjnë ndërhyrje të planifikuar kardiake kirurgjikale dhe që u duhet të ndërpresin NOAC-un.</w:t>
      </w:r>
    </w:p>
    <w:p w14:paraId="0E431304" w14:textId="77777777" w:rsidR="009E1860" w:rsidRDefault="009E1860" w:rsidP="009E1860">
      <w:pPr>
        <w:rPr>
          <w:sz w:val="24"/>
          <w:szCs w:val="24"/>
        </w:rPr>
      </w:pPr>
      <w:r>
        <w:rPr>
          <w:sz w:val="24"/>
          <w:szCs w:val="24"/>
        </w:rPr>
        <w:t>Në pacientët me NOAC që duhet t'i nënshtrohen urgjentisht kardiokirurgjisë, dmth pa mundësinë e ndërprerjes së trajtimit për intervalet e sipërpërmendura, vlerësimi i niveleve plazmatikë të NOAC mund të të jetë i dobishëm për shtresëzimin e rrezikut (</w:t>
      </w:r>
      <w:r w:rsidRPr="00BC6C64">
        <w:rPr>
          <w:sz w:val="24"/>
          <w:szCs w:val="24"/>
        </w:rPr>
        <w:t>shiko skemën ‘Menaxhimi i pacinetëve nën NOAC kur duhet të kryhet një ndërhyrje kirurgjikale e paplanifikuar’).</w:t>
      </w:r>
      <w:r>
        <w:rPr>
          <w:sz w:val="24"/>
          <w:szCs w:val="24"/>
        </w:rPr>
        <w:t xml:space="preserve"> </w:t>
      </w:r>
    </w:p>
    <w:p w14:paraId="3E3D2C10" w14:textId="77777777" w:rsidR="009E1860" w:rsidRDefault="009E1860" w:rsidP="009E1860">
      <w:pPr>
        <w:rPr>
          <w:sz w:val="24"/>
          <w:szCs w:val="24"/>
        </w:rPr>
      </w:pPr>
      <w:r>
        <w:rPr>
          <w:sz w:val="24"/>
          <w:szCs w:val="24"/>
        </w:rPr>
        <w:t xml:space="preserve">Udhëzimet EACTS sugjerojnë nivele plazmatike &lt;30 ng/mL si vlera kufitare nën të cilat operacionet mund të kryhen 'në mënyrë të sigurt', por mungojnë të dhënat nga studimet prospektive. Nëse maten vlera më të larta dhe pritja e mëtejshme është e pamundur, asnjanësimi i efektit të dabigatranit duke përdorur idarucizumab mund të përfaqësojë një opsion të vlefshëm trajtimi. Aktualisht është e paqartë nëse asnjanësimi i frenuesve të faktorit Xa (rivaroxaban, apixaban e.t.j) duke përdorur andexanet alfa është po aq i sigurt dhe efektiv në situata të tilla, veçanërisht duke pasur parasysh efektin e tij të mundshëm pro-trombotik, si dhe efektin e tij frenues jo-specifik në frenuesit e tjerë të faktorit Xa duke përfshirë heparinën e pafraksionuar (që mund të kërkojë përdorimin e një frenuesi të drejtpërdrejtë të trombinës si p.sh.  argatroban ose bivalirudin gjatë bypass-it kardiopulmonar). Në funksion të këtyre kufizimeve, të kombinuara me disponueshmërinë e kufizuar dhe koston e lartë të andeksanet alfa, mund të jetë e këshillueshme që 'përmbysja' e efektit inhibues të faktorit Xa të kryhet duke përdorur PCC ose aPCC, duke peshuar gjithashtu me kujdes indikacionet e tij kundrejt efektit të tij të mundshëm protrombotik, derisa të dhëna të mëtejshme për andexanet alfa të bëhen të disponueshme në kontekstin e procedurave të kirurgjisë kardiake.  </w:t>
      </w:r>
    </w:p>
    <w:p w14:paraId="4BD030B6" w14:textId="77777777" w:rsidR="009E1860" w:rsidRDefault="009E1860" w:rsidP="009E1860">
      <w:pPr>
        <w:rPr>
          <w:sz w:val="24"/>
          <w:szCs w:val="24"/>
        </w:rPr>
      </w:pPr>
      <w:r>
        <w:rPr>
          <w:sz w:val="24"/>
          <w:szCs w:val="24"/>
        </w:rPr>
        <w:t>Pas operacionit kardiak, koha optimale për rifillimin e NOAC varet nga një sërë faktorësh, duke përfshirë hemostazën adekuate si dhe çdo ndërhyrje shtesë (të planifikuar dhe të paplanifikuar). N</w:t>
      </w:r>
      <w:r w:rsidRPr="007122E1">
        <w:rPr>
          <w:sz w:val="24"/>
          <w:szCs w:val="24"/>
        </w:rPr>
        <w:t xml:space="preserve">ë fillim të periudhës postoperative </w:t>
      </w:r>
      <w:r>
        <w:rPr>
          <w:sz w:val="24"/>
          <w:szCs w:val="24"/>
        </w:rPr>
        <w:t>këshillohet të përdoren heparina e pafraksionuara ose heparinat me peshë molekulare të ulët në dozë profilaktike për shkak të fillimit, përfundimit dhe rikthyeshmërisë së shpejtë të efektit terapeutik, të ndjekur nga heparinat në dozë terapeutike 12-48 orë pas operacionit. Pasi të jetë konfirmuar hemostaza adekuate dhe nuk planifikohen ndërhyrje të mëtejshme, heparina e pafraksionuar ose heparina me peshë molekulare të ulët mund të kalojnë në një NOAC në pacientët që kualifikohen për përdorimin e tyre.</w:t>
      </w:r>
    </w:p>
    <w:p w14:paraId="0CE99A3A" w14:textId="77777777" w:rsidR="009E1860" w:rsidRDefault="009E1860" w:rsidP="009E1860">
      <w:pPr>
        <w:rPr>
          <w:sz w:val="24"/>
          <w:szCs w:val="24"/>
        </w:rPr>
      </w:pPr>
    </w:p>
    <w:p w14:paraId="78CE49F4" w14:textId="77777777" w:rsidR="009E1860" w:rsidRPr="00370F3A" w:rsidRDefault="009E1860" w:rsidP="009E1860">
      <w:pPr>
        <w:rPr>
          <w:b/>
          <w:bCs/>
          <w:sz w:val="24"/>
          <w:szCs w:val="24"/>
        </w:rPr>
      </w:pPr>
      <w:r w:rsidRPr="00370F3A">
        <w:rPr>
          <w:b/>
          <w:bCs/>
          <w:sz w:val="24"/>
          <w:szCs w:val="24"/>
        </w:rPr>
        <w:t xml:space="preserve">Menaxhimi i NOAC rreth ndërhyrjeve </w:t>
      </w:r>
      <w:r>
        <w:rPr>
          <w:b/>
          <w:bCs/>
          <w:sz w:val="24"/>
          <w:szCs w:val="24"/>
        </w:rPr>
        <w:t xml:space="preserve">që kryhen </w:t>
      </w:r>
      <w:r w:rsidRPr="00370F3A">
        <w:rPr>
          <w:b/>
          <w:bCs/>
          <w:sz w:val="24"/>
          <w:szCs w:val="24"/>
        </w:rPr>
        <w:t xml:space="preserve">pas </w:t>
      </w:r>
      <w:r>
        <w:rPr>
          <w:b/>
          <w:bCs/>
          <w:sz w:val="24"/>
          <w:szCs w:val="24"/>
        </w:rPr>
        <w:t xml:space="preserve">një </w:t>
      </w:r>
      <w:r w:rsidRPr="00370F3A">
        <w:rPr>
          <w:b/>
          <w:bCs/>
          <w:sz w:val="24"/>
          <w:szCs w:val="24"/>
        </w:rPr>
        <w:t xml:space="preserve">operacioni kardiak (përfshirë futjen e tubit </w:t>
      </w:r>
      <w:r>
        <w:rPr>
          <w:b/>
          <w:bCs/>
          <w:sz w:val="24"/>
          <w:szCs w:val="24"/>
        </w:rPr>
        <w:t>n</w:t>
      </w:r>
      <w:r w:rsidRPr="00370F3A">
        <w:rPr>
          <w:b/>
          <w:bCs/>
          <w:sz w:val="24"/>
          <w:szCs w:val="24"/>
        </w:rPr>
        <w:t>ë kraharor, heqjen e telave të përkohshëm të ritmit epikardial)</w:t>
      </w:r>
    </w:p>
    <w:p w14:paraId="1CF82043" w14:textId="77777777" w:rsidR="009E1860" w:rsidRDefault="009E1860" w:rsidP="009E1860">
      <w:pPr>
        <w:rPr>
          <w:sz w:val="24"/>
          <w:szCs w:val="24"/>
        </w:rPr>
      </w:pPr>
      <w:r>
        <w:rPr>
          <w:sz w:val="24"/>
          <w:szCs w:val="24"/>
        </w:rPr>
        <w:t>Nuk ekzistojnë evidenca të forta shkencore për të këshilluar se cila është mënyra më e mirë për të menaxhuar ndërhyrjet e kryera ose të planifikuara menjëherë pas operacionit kardiak, duke përfshirë heqjen e telave të përkohshëm të stimuluesit kardiak epikardial.</w:t>
      </w:r>
    </w:p>
    <w:p w14:paraId="75FA5F50" w14:textId="77777777" w:rsidR="009E1860" w:rsidRDefault="009E1860" w:rsidP="009E1860">
      <w:pPr>
        <w:rPr>
          <w:sz w:val="24"/>
          <w:szCs w:val="24"/>
        </w:rPr>
      </w:pPr>
      <w:r>
        <w:rPr>
          <w:sz w:val="24"/>
          <w:szCs w:val="24"/>
        </w:rPr>
        <w:t>Në shumicën e skenarëve, mund të aplikohet një skemë e ngjashme si për ndërhyrjet me 'rrezik të ulët hemorragjik' (shiko t</w:t>
      </w:r>
      <w:r w:rsidRPr="002A5134">
        <w:rPr>
          <w:sz w:val="24"/>
          <w:szCs w:val="24"/>
        </w:rPr>
        <w:t xml:space="preserve">abelën </w:t>
      </w:r>
      <w:r>
        <w:rPr>
          <w:sz w:val="24"/>
          <w:szCs w:val="24"/>
        </w:rPr>
        <w:t>‘</w:t>
      </w:r>
      <w:r w:rsidRPr="002A5134">
        <w:rPr>
          <w:sz w:val="24"/>
          <w:szCs w:val="24"/>
        </w:rPr>
        <w:t>Klasifikimi i nd</w:t>
      </w:r>
      <w:r>
        <w:rPr>
          <w:sz w:val="24"/>
          <w:szCs w:val="24"/>
        </w:rPr>
        <w:t>ë</w:t>
      </w:r>
      <w:r w:rsidRPr="002A5134">
        <w:rPr>
          <w:sz w:val="24"/>
          <w:szCs w:val="24"/>
        </w:rPr>
        <w:t>rhyrjeve kirurgjikale elektive (</w:t>
      </w:r>
      <w:r>
        <w:rPr>
          <w:sz w:val="24"/>
          <w:szCs w:val="24"/>
        </w:rPr>
        <w:t>të</w:t>
      </w:r>
      <w:r w:rsidRPr="002A5134">
        <w:rPr>
          <w:sz w:val="24"/>
          <w:szCs w:val="24"/>
        </w:rPr>
        <w:t xml:space="preserve"> planifikuara) sipas riskut hemorragjik’ dhe Figurat 2 dhe 3</w:t>
      </w:r>
      <w:r>
        <w:rPr>
          <w:sz w:val="24"/>
          <w:szCs w:val="24"/>
        </w:rPr>
        <w:t>)</w:t>
      </w:r>
      <w:r w:rsidRPr="00BC6C64">
        <w:rPr>
          <w:sz w:val="24"/>
          <w:szCs w:val="24"/>
        </w:rPr>
        <w:t>,</w:t>
      </w:r>
      <w:r>
        <w:rPr>
          <w:sz w:val="24"/>
          <w:szCs w:val="24"/>
        </w:rPr>
        <w:t xml:space="preserve"> pra me një ndërprerje 24 orëshe të terapisë me NOAC. Megjithatë, një mori faktorësh të tjerë mund të ndikojnë në kohëzgjatjen e ndërprerjes së NOAC duke përfshirë trombocitopeninë, terapinë shtesë antitrombocitare, bashkëadministrimin e disa barnave, përkeqësimin e sëmundjes renale kronike etj. Prandaj mund të këshillohet që të mos fillohet terapia me NOAC pas operacionit kardiak përpara heqjes së telave të përkohshëm</w:t>
      </w:r>
      <w:r w:rsidRPr="00E855AE">
        <w:rPr>
          <w:sz w:val="24"/>
          <w:szCs w:val="24"/>
        </w:rPr>
        <w:t xml:space="preserve"> të ritmit epikardial </w:t>
      </w:r>
      <w:r>
        <w:rPr>
          <w:sz w:val="24"/>
          <w:szCs w:val="24"/>
        </w:rPr>
        <w:t xml:space="preserve">ose kur ende pritet ndonjë ndërhyrje tjetër (drenazhi i efuzionit pleural etj.). </w:t>
      </w:r>
    </w:p>
    <w:p w14:paraId="21276A03" w14:textId="77777777" w:rsidR="009E1860" w:rsidRDefault="009E1860" w:rsidP="009E1860">
      <w:pPr>
        <w:rPr>
          <w:b/>
          <w:bCs/>
          <w:sz w:val="24"/>
          <w:szCs w:val="24"/>
        </w:rPr>
      </w:pPr>
    </w:p>
    <w:p w14:paraId="001AC8F0" w14:textId="77777777" w:rsidR="009E1860" w:rsidRDefault="009E1860" w:rsidP="009E1860">
      <w:pPr>
        <w:rPr>
          <w:b/>
          <w:bCs/>
          <w:sz w:val="24"/>
          <w:szCs w:val="24"/>
        </w:rPr>
      </w:pPr>
      <w:r w:rsidRPr="00E855AE">
        <w:rPr>
          <w:b/>
          <w:bCs/>
          <w:sz w:val="24"/>
          <w:szCs w:val="24"/>
        </w:rPr>
        <w:t xml:space="preserve">Përdorimi i NOAC </w:t>
      </w:r>
      <w:r>
        <w:rPr>
          <w:b/>
          <w:bCs/>
          <w:sz w:val="24"/>
          <w:szCs w:val="24"/>
        </w:rPr>
        <w:t xml:space="preserve">në fibrilacionin atrial </w:t>
      </w:r>
      <w:r w:rsidRPr="00E855AE">
        <w:rPr>
          <w:b/>
          <w:bCs/>
          <w:sz w:val="24"/>
          <w:szCs w:val="24"/>
        </w:rPr>
        <w:t>p</w:t>
      </w:r>
      <w:r>
        <w:rPr>
          <w:b/>
          <w:bCs/>
          <w:sz w:val="24"/>
          <w:szCs w:val="24"/>
        </w:rPr>
        <w:t>ost-operativ</w:t>
      </w:r>
    </w:p>
    <w:p w14:paraId="1E9B5C7B" w14:textId="77777777" w:rsidR="009E1860" w:rsidRDefault="009E1860" w:rsidP="009E1860">
      <w:pPr>
        <w:rPr>
          <w:sz w:val="24"/>
          <w:szCs w:val="24"/>
        </w:rPr>
      </w:pPr>
      <w:r>
        <w:rPr>
          <w:sz w:val="24"/>
          <w:szCs w:val="24"/>
        </w:rPr>
        <w:t xml:space="preserve">Fibrilacioni atrial pas operacionit kardiak është i zakonshëm, me incidenca të raportuara deri në 20-50%. Udhëzimet e fibrilacionit atrial të ESC të vitit 2020 (të zhvilluara në bashkëpunim me EACTS) tregojnë se terapia afatgjatë me antikoagulantë oralë mund të konsiderohet në pacientët në rrezik për insult cerebral në terren të fibrilacionit atrial (të zhvilluar rishtazi) pas operacionit kardiak (Klasa IIb, niveli B i evidencës), pasi rreziku afatshkurtër dhe afatgjatë për insult cerebral mund të rritet ndjeshëm në pacientë të tillë. Koha e fillimit të antikoagulimit oral  ndjek parimet e përgjithshme pas operacionit kardiak, siç përshkruhen më sipër. </w:t>
      </w:r>
    </w:p>
    <w:p w14:paraId="4937A47D" w14:textId="77777777" w:rsidR="009E1860" w:rsidRDefault="009E1860" w:rsidP="009E1860">
      <w:pPr>
        <w:rPr>
          <w:sz w:val="24"/>
          <w:szCs w:val="24"/>
        </w:rPr>
      </w:pPr>
    </w:p>
    <w:p w14:paraId="76AE3469" w14:textId="77777777" w:rsidR="009E1860" w:rsidRPr="005D1D2C" w:rsidRDefault="009E1860" w:rsidP="009E1860">
      <w:pPr>
        <w:rPr>
          <w:b/>
          <w:bCs/>
          <w:sz w:val="24"/>
          <w:szCs w:val="24"/>
        </w:rPr>
      </w:pPr>
      <w:r w:rsidRPr="005D1D2C">
        <w:rPr>
          <w:b/>
          <w:bCs/>
          <w:sz w:val="24"/>
          <w:szCs w:val="24"/>
        </w:rPr>
        <w:t xml:space="preserve">Përdorimi i NOAC në pacientët me </w:t>
      </w:r>
      <w:r>
        <w:rPr>
          <w:b/>
          <w:bCs/>
          <w:sz w:val="24"/>
          <w:szCs w:val="24"/>
        </w:rPr>
        <w:t>fibrilacion atrial</w:t>
      </w:r>
      <w:r w:rsidRPr="005D1D2C">
        <w:rPr>
          <w:b/>
          <w:bCs/>
          <w:sz w:val="24"/>
          <w:szCs w:val="24"/>
        </w:rPr>
        <w:t xml:space="preserve"> pas implantimit të valvulës bioprotetike ose riparimit të valvulës</w:t>
      </w:r>
    </w:p>
    <w:p w14:paraId="141D9AA8" w14:textId="77777777" w:rsidR="009E1860" w:rsidRDefault="009E1860" w:rsidP="009E1860">
      <w:pPr>
        <w:rPr>
          <w:sz w:val="24"/>
          <w:szCs w:val="24"/>
        </w:rPr>
      </w:pPr>
      <w:r>
        <w:rPr>
          <w:sz w:val="24"/>
          <w:szCs w:val="24"/>
        </w:rPr>
        <w:t xml:space="preserve">Tradicionalisht, antivitaminikët K kanë qenë antikoagulantët e zgjedhur gjatë 1-3 muajve të parë pas implantimit të valvulës bioprostetike ose riparimit të valvulës në pacientët me fibrilacion atrial. Siç u diskutua në paragrafin 'Përshtatshmëria dhe dozimi i NOAC', NOAC-ët shfaqen si një opsion i vlefshëm pas kësaj periudhe, duke pasur parasysh të dhënat nga studimet kryesore të fazës III, si dhe studimin e dedikuar RIVER. Rezultatet e këtij të fundit nënkuptojnë se pacientët mund të jenë trajtuar me një NOAC edhe më herët pas zëvendësimit biologjik të valvulës, por numri i pacientëve të rastësishëm &lt;3 muaj pas operacionit ishte i vogël (n= 95, me rivaroxaban). Nevojiten të dhëna të mëtejshme konfirmuese, gjithashtu me NOAC të tjerë. </w:t>
      </w:r>
    </w:p>
    <w:p w14:paraId="4EC2D1E8" w14:textId="77777777" w:rsidR="009E1860" w:rsidRDefault="009E1860" w:rsidP="009E1860">
      <w:pPr>
        <w:rPr>
          <w:sz w:val="24"/>
          <w:szCs w:val="24"/>
        </w:rPr>
      </w:pPr>
    </w:p>
    <w:p w14:paraId="22FB97EF" w14:textId="77777777" w:rsidR="009E1860" w:rsidRPr="005D1D2C" w:rsidRDefault="009E1860" w:rsidP="009E1860">
      <w:pPr>
        <w:rPr>
          <w:b/>
          <w:bCs/>
          <w:sz w:val="24"/>
          <w:szCs w:val="24"/>
        </w:rPr>
      </w:pPr>
      <w:r w:rsidRPr="005D1D2C">
        <w:rPr>
          <w:b/>
          <w:bCs/>
          <w:sz w:val="24"/>
          <w:szCs w:val="24"/>
        </w:rPr>
        <w:t xml:space="preserve">NOACs pas transplantimit të arterieve koronare </w:t>
      </w:r>
    </w:p>
    <w:p w14:paraId="29007FD2" w14:textId="77777777" w:rsidR="009E1860" w:rsidRDefault="009E1860" w:rsidP="009E1860">
      <w:pPr>
        <w:rPr>
          <w:sz w:val="24"/>
          <w:szCs w:val="24"/>
        </w:rPr>
      </w:pPr>
      <w:r>
        <w:rPr>
          <w:sz w:val="24"/>
          <w:szCs w:val="24"/>
        </w:rPr>
        <w:t xml:space="preserve">Në pacientët pa fibrilacion atrial, terapia e dyfishtë antiagregante (Dual AntiPlatelete Therapy) administrohet shpesh te pacientët pas transplantimit të arterieve koronare (CABG – coronaro-artery bypass grafting) (pas by-pass-it) pasi shoqërohet me përmirësim të procedurës dhe ulje të vdekshmërisë (megjithëse niveli i evidentimit veçanërisht për këtë të fundit është i dobët). Në pacientët me fibrilacion atrial që duhet të kryejnë by-pass, kombinimi i </w:t>
      </w:r>
      <w:r w:rsidRPr="00873F79">
        <w:rPr>
          <w:b/>
          <w:bCs/>
          <w:sz w:val="24"/>
          <w:szCs w:val="24"/>
        </w:rPr>
        <w:t xml:space="preserve">një agjenti </w:t>
      </w:r>
      <w:r>
        <w:rPr>
          <w:sz w:val="24"/>
          <w:szCs w:val="24"/>
        </w:rPr>
        <w:t xml:space="preserve">të vetëm antiagregant (aspirinë ose klopidogrel) me NOAC duket i arsyeshëm, por nuk ka studime të rastësishme, prospektive në këtë fushë. Kombinimi </w:t>
      </w:r>
      <w:r w:rsidRPr="00873F79">
        <w:rPr>
          <w:b/>
          <w:bCs/>
          <w:sz w:val="24"/>
          <w:szCs w:val="24"/>
        </w:rPr>
        <w:t>i dy agjent</w:t>
      </w:r>
      <w:r>
        <w:rPr>
          <w:b/>
          <w:bCs/>
          <w:sz w:val="24"/>
          <w:szCs w:val="24"/>
        </w:rPr>
        <w:t>ë</w:t>
      </w:r>
      <w:r w:rsidRPr="00873F79">
        <w:rPr>
          <w:b/>
          <w:bCs/>
          <w:sz w:val="24"/>
          <w:szCs w:val="24"/>
        </w:rPr>
        <w:t>ve</w:t>
      </w:r>
      <w:r>
        <w:rPr>
          <w:sz w:val="24"/>
          <w:szCs w:val="24"/>
        </w:rPr>
        <w:t xml:space="preserve"> antiagregantë me një NOAC duket i padëshirueshëm për shkak të rrezikut të tij të natyrshëm për hemorragji, por përsëri, nuk ka asnjë studim të mundshëm.</w:t>
      </w:r>
    </w:p>
    <w:p w14:paraId="13346685" w14:textId="77777777" w:rsidR="009E1860" w:rsidRDefault="009E1860" w:rsidP="009E1860">
      <w:pPr>
        <w:rPr>
          <w:sz w:val="24"/>
          <w:szCs w:val="24"/>
        </w:rPr>
      </w:pPr>
      <w:r>
        <w:rPr>
          <w:sz w:val="24"/>
          <w:szCs w:val="24"/>
        </w:rPr>
        <w:t xml:space="preserve">Koha post-operative </w:t>
      </w:r>
      <w:r w:rsidRPr="00873F79">
        <w:rPr>
          <w:sz w:val="24"/>
          <w:szCs w:val="24"/>
        </w:rPr>
        <w:t xml:space="preserve">e </w:t>
      </w:r>
      <w:r>
        <w:rPr>
          <w:sz w:val="24"/>
          <w:szCs w:val="24"/>
        </w:rPr>
        <w:t>ri</w:t>
      </w:r>
      <w:r w:rsidRPr="00873F79">
        <w:rPr>
          <w:sz w:val="24"/>
          <w:szCs w:val="24"/>
        </w:rPr>
        <w:t xml:space="preserve">fillimit </w:t>
      </w:r>
      <w:r>
        <w:rPr>
          <w:sz w:val="24"/>
          <w:szCs w:val="24"/>
        </w:rPr>
        <w:t>të terapisë me NOAC ndjek të njëjtat parime siç tregohet më sipër. Një vit pas CABG, NOAC-ët mund të vazhdojnë si monoterapi, ngjashëm me pacientët e tjerë me sindromën koronare kronike.</w:t>
      </w:r>
    </w:p>
    <w:p w14:paraId="5C4DBDE1" w14:textId="77777777" w:rsidR="009E1860" w:rsidRPr="005D1D2C" w:rsidRDefault="009E1860" w:rsidP="009E1860">
      <w:pPr>
        <w:rPr>
          <w:b/>
          <w:bCs/>
          <w:sz w:val="24"/>
          <w:szCs w:val="24"/>
        </w:rPr>
      </w:pPr>
      <w:r w:rsidRPr="00BC6C64">
        <w:rPr>
          <w:b/>
          <w:bCs/>
          <w:sz w:val="24"/>
          <w:szCs w:val="24"/>
        </w:rPr>
        <w:t>NOACs pas trajtimit kirurgjik</w:t>
      </w:r>
      <w:r>
        <w:rPr>
          <w:b/>
          <w:bCs/>
          <w:sz w:val="24"/>
          <w:szCs w:val="24"/>
        </w:rPr>
        <w:t>al</w:t>
      </w:r>
      <w:r w:rsidRPr="00BC6C64">
        <w:rPr>
          <w:b/>
          <w:bCs/>
          <w:sz w:val="24"/>
          <w:szCs w:val="24"/>
        </w:rPr>
        <w:t xml:space="preserve"> të fibrilacionit atrial </w:t>
      </w:r>
      <w:r w:rsidRPr="00BC6C64">
        <w:rPr>
          <w:b/>
          <w:bCs/>
          <w:sz w:val="24"/>
          <w:szCs w:val="24"/>
          <w:u w:val="single"/>
        </w:rPr>
        <w:t>+</w:t>
      </w:r>
      <w:r w:rsidRPr="00BC6C64">
        <w:rPr>
          <w:b/>
          <w:bCs/>
          <w:sz w:val="24"/>
          <w:szCs w:val="24"/>
        </w:rPr>
        <w:t xml:space="preserve"> okluzionin/heqjen</w:t>
      </w:r>
      <w:r>
        <w:rPr>
          <w:b/>
          <w:bCs/>
          <w:sz w:val="24"/>
          <w:szCs w:val="24"/>
        </w:rPr>
        <w:t xml:space="preserve"> e apendiksit të atriumit të majtë</w:t>
      </w:r>
    </w:p>
    <w:p w14:paraId="2D7A381B" w14:textId="77777777" w:rsidR="009E1860" w:rsidRDefault="009E1860" w:rsidP="009E1860">
      <w:pPr>
        <w:rPr>
          <w:sz w:val="24"/>
          <w:szCs w:val="24"/>
        </w:rPr>
      </w:pPr>
      <w:r>
        <w:rPr>
          <w:sz w:val="24"/>
          <w:szCs w:val="24"/>
        </w:rPr>
        <w:t>Sipas udhëzimeve të ESC te fibrilacionit atrial të vitit 2020 (zhvilluar në bashkëpunim me EACTS), terapia afatgjatë me antikoagulantë oral, rekomandohet te pacientët pas operacionit të fibrilacionit atrial dhe mbylljes së apendiksit të atriumit të majtë bazuar në rrezikun tromboembolik të pacientit siç vlerësohet nga rezultati CHA</w:t>
      </w:r>
      <w:r w:rsidRPr="00802B63">
        <w:rPr>
          <w:sz w:val="24"/>
          <w:szCs w:val="24"/>
          <w:vertAlign w:val="subscript"/>
        </w:rPr>
        <w:t>2</w:t>
      </w:r>
      <w:r>
        <w:rPr>
          <w:sz w:val="24"/>
          <w:szCs w:val="24"/>
        </w:rPr>
        <w:t>DS</w:t>
      </w:r>
      <w:r w:rsidRPr="00802B63">
        <w:rPr>
          <w:sz w:val="24"/>
          <w:szCs w:val="24"/>
          <w:vertAlign w:val="subscript"/>
        </w:rPr>
        <w:t>2</w:t>
      </w:r>
      <w:r>
        <w:rPr>
          <w:sz w:val="24"/>
          <w:szCs w:val="24"/>
        </w:rPr>
        <w:t>-VASc dhe jo në 'suksesin ' e procedurës (nuk ka të dhëna nga studime klinike rastësore). Fillimi postoperativ i terapisë me NOAC ndjek parimet e përgjithshme pas kardiokirurgjisë siç janë përshkruar më sipër.</w:t>
      </w:r>
    </w:p>
    <w:p w14:paraId="44C735B5" w14:textId="77777777" w:rsidR="009E1860" w:rsidRPr="007F764F" w:rsidRDefault="009E1860" w:rsidP="009E1860">
      <w:pPr>
        <w:rPr>
          <w:rFonts w:cstheme="minorHAnsi"/>
          <w:color w:val="000000"/>
          <w:sz w:val="24"/>
          <w:szCs w:val="24"/>
        </w:rPr>
      </w:pPr>
    </w:p>
    <w:bookmarkEnd w:id="0"/>
    <w:p w14:paraId="2810AA0A" w14:textId="77777777" w:rsidR="009E1860" w:rsidRDefault="009E1860" w:rsidP="001C7DCA">
      <w:pPr>
        <w:pStyle w:val="KeinLeerraum"/>
        <w:rPr>
          <w:lang w:val="en-GB"/>
        </w:rPr>
      </w:pPr>
    </w:p>
    <w:sectPr w:rsidR="009E186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20391E" w14:textId="77777777" w:rsidR="00F73807" w:rsidRDefault="00F73807" w:rsidP="003D3F84">
      <w:pPr>
        <w:spacing w:after="0" w:line="240" w:lineRule="auto"/>
      </w:pPr>
      <w:r>
        <w:separator/>
      </w:r>
    </w:p>
  </w:endnote>
  <w:endnote w:type="continuationSeparator" w:id="0">
    <w:p w14:paraId="1C8061FD" w14:textId="77777777" w:rsidR="00F73807" w:rsidRDefault="00F73807" w:rsidP="003D3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0891452"/>
      <w:docPartObj>
        <w:docPartGallery w:val="Page Numbers (Bottom of Page)"/>
        <w:docPartUnique/>
      </w:docPartObj>
    </w:sdtPr>
    <w:sdtEndPr>
      <w:rPr>
        <w:noProof/>
      </w:rPr>
    </w:sdtEndPr>
    <w:sdtContent>
      <w:p w14:paraId="3A7DCD8C" w14:textId="3B9E427C" w:rsidR="00BD248A" w:rsidRDefault="00BD248A">
        <w:pPr>
          <w:pStyle w:val="Fuzeile"/>
          <w:jc w:val="right"/>
        </w:pPr>
        <w:r>
          <w:fldChar w:fldCharType="begin"/>
        </w:r>
        <w:r>
          <w:instrText xml:space="preserve"> PAGE   \* MERGEFORMAT </w:instrText>
        </w:r>
        <w:r>
          <w:fldChar w:fldCharType="separate"/>
        </w:r>
        <w:r>
          <w:rPr>
            <w:noProof/>
          </w:rPr>
          <w:t>2</w:t>
        </w:r>
        <w:r>
          <w:rPr>
            <w:noProof/>
          </w:rPr>
          <w:fldChar w:fldCharType="end"/>
        </w:r>
      </w:p>
    </w:sdtContent>
  </w:sdt>
  <w:p w14:paraId="163972F4" w14:textId="77777777" w:rsidR="00BD248A" w:rsidRDefault="00BD24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0309C" w14:textId="77777777" w:rsidR="00F73807" w:rsidRDefault="00F73807" w:rsidP="003D3F84">
      <w:pPr>
        <w:spacing w:after="0" w:line="240" w:lineRule="auto"/>
      </w:pPr>
      <w:r>
        <w:separator/>
      </w:r>
    </w:p>
  </w:footnote>
  <w:footnote w:type="continuationSeparator" w:id="0">
    <w:p w14:paraId="46205344" w14:textId="77777777" w:rsidR="00F73807" w:rsidRDefault="00F73807" w:rsidP="003D3F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2"/>
      <w:numFmt w:val="upperRoman"/>
      <w:lvlText w:val="%1."/>
      <w:lvlJc w:val="left"/>
      <w:pPr>
        <w:ind w:left="1155" w:hanging="279"/>
      </w:pPr>
      <w:rPr>
        <w:rFonts w:ascii="Times New Roman" w:hAnsi="Times New Roman" w:cs="Times New Roman"/>
        <w:b w:val="0"/>
        <w:bCs w:val="0"/>
        <w:spacing w:val="-4"/>
        <w:w w:val="99"/>
        <w:sz w:val="24"/>
        <w:szCs w:val="24"/>
      </w:rPr>
    </w:lvl>
    <w:lvl w:ilvl="1">
      <w:numFmt w:val="bullet"/>
      <w:lvlText w:val="•"/>
      <w:lvlJc w:val="left"/>
      <w:pPr>
        <w:ind w:left="2046" w:hanging="279"/>
      </w:pPr>
    </w:lvl>
    <w:lvl w:ilvl="2">
      <w:numFmt w:val="bullet"/>
      <w:lvlText w:val="•"/>
      <w:lvlJc w:val="left"/>
      <w:pPr>
        <w:ind w:left="2932" w:hanging="279"/>
      </w:pPr>
    </w:lvl>
    <w:lvl w:ilvl="3">
      <w:numFmt w:val="bullet"/>
      <w:lvlText w:val="•"/>
      <w:lvlJc w:val="left"/>
      <w:pPr>
        <w:ind w:left="3818" w:hanging="279"/>
      </w:pPr>
    </w:lvl>
    <w:lvl w:ilvl="4">
      <w:numFmt w:val="bullet"/>
      <w:lvlText w:val="•"/>
      <w:lvlJc w:val="left"/>
      <w:pPr>
        <w:ind w:left="4704" w:hanging="279"/>
      </w:pPr>
    </w:lvl>
    <w:lvl w:ilvl="5">
      <w:numFmt w:val="bullet"/>
      <w:lvlText w:val="•"/>
      <w:lvlJc w:val="left"/>
      <w:pPr>
        <w:ind w:left="5590" w:hanging="279"/>
      </w:pPr>
    </w:lvl>
    <w:lvl w:ilvl="6">
      <w:numFmt w:val="bullet"/>
      <w:lvlText w:val="•"/>
      <w:lvlJc w:val="left"/>
      <w:pPr>
        <w:ind w:left="6476" w:hanging="279"/>
      </w:pPr>
    </w:lvl>
    <w:lvl w:ilvl="7">
      <w:numFmt w:val="bullet"/>
      <w:lvlText w:val="•"/>
      <w:lvlJc w:val="left"/>
      <w:pPr>
        <w:ind w:left="7362" w:hanging="279"/>
      </w:pPr>
    </w:lvl>
    <w:lvl w:ilvl="8">
      <w:numFmt w:val="bullet"/>
      <w:lvlText w:val="•"/>
      <w:lvlJc w:val="left"/>
      <w:pPr>
        <w:ind w:left="8248" w:hanging="279"/>
      </w:pPr>
    </w:lvl>
  </w:abstractNum>
  <w:abstractNum w:abstractNumId="1" w15:restartNumberingAfterBreak="0">
    <w:nsid w:val="00000403"/>
    <w:multiLevelType w:val="multilevel"/>
    <w:tmpl w:val="00000886"/>
    <w:lvl w:ilvl="0">
      <w:start w:val="1"/>
      <w:numFmt w:val="decimal"/>
      <w:lvlText w:val="%1"/>
      <w:lvlJc w:val="left"/>
      <w:pPr>
        <w:ind w:left="1236" w:hanging="360"/>
      </w:pPr>
      <w:rPr>
        <w:rFonts w:cs="Times New Roman"/>
      </w:rPr>
    </w:lvl>
    <w:lvl w:ilvl="1">
      <w:numFmt w:val="decimal"/>
      <w:lvlText w:val="%1.%2"/>
      <w:lvlJc w:val="left"/>
      <w:pPr>
        <w:ind w:left="1236" w:hanging="360"/>
      </w:pPr>
      <w:rPr>
        <w:rFonts w:ascii="Times New Roman" w:hAnsi="Times New Roman" w:cs="Times New Roman"/>
        <w:b w:val="0"/>
        <w:bCs w:val="0"/>
        <w:w w:val="99"/>
        <w:sz w:val="24"/>
        <w:szCs w:val="24"/>
      </w:rPr>
    </w:lvl>
    <w:lvl w:ilvl="2">
      <w:start w:val="1"/>
      <w:numFmt w:val="decimal"/>
      <w:lvlText w:val="%1.%2.%3"/>
      <w:lvlJc w:val="left"/>
      <w:pPr>
        <w:ind w:left="1596" w:hanging="540"/>
      </w:pPr>
      <w:rPr>
        <w:rFonts w:cs="Times New Roman"/>
        <w:b w:val="0"/>
        <w:bCs w:val="0"/>
        <w:w w:val="99"/>
      </w:rPr>
    </w:lvl>
    <w:lvl w:ilvl="3">
      <w:numFmt w:val="bullet"/>
      <w:lvlText w:val="•"/>
      <w:lvlJc w:val="left"/>
      <w:pPr>
        <w:ind w:left="3471" w:hanging="540"/>
      </w:pPr>
    </w:lvl>
    <w:lvl w:ilvl="4">
      <w:numFmt w:val="bullet"/>
      <w:lvlText w:val="•"/>
      <w:lvlJc w:val="left"/>
      <w:pPr>
        <w:ind w:left="4406" w:hanging="540"/>
      </w:pPr>
    </w:lvl>
    <w:lvl w:ilvl="5">
      <w:numFmt w:val="bullet"/>
      <w:lvlText w:val="•"/>
      <w:lvlJc w:val="left"/>
      <w:pPr>
        <w:ind w:left="5342" w:hanging="540"/>
      </w:pPr>
    </w:lvl>
    <w:lvl w:ilvl="6">
      <w:numFmt w:val="bullet"/>
      <w:lvlText w:val="•"/>
      <w:lvlJc w:val="left"/>
      <w:pPr>
        <w:ind w:left="6277" w:hanging="540"/>
      </w:pPr>
    </w:lvl>
    <w:lvl w:ilvl="7">
      <w:numFmt w:val="bullet"/>
      <w:lvlText w:val="•"/>
      <w:lvlJc w:val="left"/>
      <w:pPr>
        <w:ind w:left="7213" w:hanging="540"/>
      </w:pPr>
    </w:lvl>
    <w:lvl w:ilvl="8">
      <w:numFmt w:val="bullet"/>
      <w:lvlText w:val="•"/>
      <w:lvlJc w:val="left"/>
      <w:pPr>
        <w:ind w:left="8148" w:hanging="540"/>
      </w:pPr>
    </w:lvl>
  </w:abstractNum>
  <w:abstractNum w:abstractNumId="2" w15:restartNumberingAfterBreak="0">
    <w:nsid w:val="00000404"/>
    <w:multiLevelType w:val="multilevel"/>
    <w:tmpl w:val="00000887"/>
    <w:lvl w:ilvl="0">
      <w:start w:val="2"/>
      <w:numFmt w:val="decimal"/>
      <w:lvlText w:val="%1"/>
      <w:lvlJc w:val="left"/>
      <w:pPr>
        <w:ind w:left="876" w:hanging="360"/>
      </w:pPr>
      <w:rPr>
        <w:rFonts w:cs="Times New Roman"/>
      </w:rPr>
    </w:lvl>
    <w:lvl w:ilvl="1">
      <w:numFmt w:val="decimal"/>
      <w:lvlText w:val="%1.%2"/>
      <w:lvlJc w:val="left"/>
      <w:pPr>
        <w:ind w:left="876" w:hanging="360"/>
      </w:pPr>
      <w:rPr>
        <w:rFonts w:cs="Times New Roman"/>
        <w:b w:val="0"/>
        <w:bCs w:val="0"/>
        <w:w w:val="99"/>
      </w:rPr>
    </w:lvl>
    <w:lvl w:ilvl="2">
      <w:start w:val="1"/>
      <w:numFmt w:val="decimal"/>
      <w:lvlText w:val="%1.%2.%3"/>
      <w:lvlJc w:val="left"/>
      <w:pPr>
        <w:ind w:left="1596" w:hanging="540"/>
      </w:pPr>
      <w:rPr>
        <w:rFonts w:ascii="Times New Roman" w:hAnsi="Times New Roman" w:cs="Times New Roman"/>
        <w:b w:val="0"/>
        <w:bCs w:val="0"/>
        <w:w w:val="99"/>
        <w:sz w:val="24"/>
        <w:szCs w:val="24"/>
      </w:rPr>
    </w:lvl>
    <w:lvl w:ilvl="3">
      <w:start w:val="1"/>
      <w:numFmt w:val="decimal"/>
      <w:lvlText w:val="%1.%2.%3.%4"/>
      <w:lvlJc w:val="left"/>
      <w:pPr>
        <w:ind w:left="1776" w:hanging="720"/>
      </w:pPr>
      <w:rPr>
        <w:rFonts w:ascii="Times New Roman" w:hAnsi="Times New Roman" w:cs="Times New Roman"/>
        <w:b w:val="0"/>
        <w:bCs w:val="0"/>
        <w:w w:val="99"/>
        <w:sz w:val="24"/>
        <w:szCs w:val="24"/>
      </w:rPr>
    </w:lvl>
    <w:lvl w:ilvl="4">
      <w:numFmt w:val="bullet"/>
      <w:lvlText w:val="•"/>
      <w:lvlJc w:val="left"/>
      <w:pPr>
        <w:ind w:left="2957" w:hanging="720"/>
      </w:pPr>
    </w:lvl>
    <w:lvl w:ilvl="5">
      <w:numFmt w:val="bullet"/>
      <w:lvlText w:val="•"/>
      <w:lvlJc w:val="left"/>
      <w:pPr>
        <w:ind w:left="4134" w:hanging="720"/>
      </w:pPr>
    </w:lvl>
    <w:lvl w:ilvl="6">
      <w:numFmt w:val="bullet"/>
      <w:lvlText w:val="•"/>
      <w:lvlJc w:val="left"/>
      <w:pPr>
        <w:ind w:left="5311" w:hanging="720"/>
      </w:pPr>
    </w:lvl>
    <w:lvl w:ilvl="7">
      <w:numFmt w:val="bullet"/>
      <w:lvlText w:val="•"/>
      <w:lvlJc w:val="left"/>
      <w:pPr>
        <w:ind w:left="6488" w:hanging="720"/>
      </w:pPr>
    </w:lvl>
    <w:lvl w:ilvl="8">
      <w:numFmt w:val="bullet"/>
      <w:lvlText w:val="•"/>
      <w:lvlJc w:val="left"/>
      <w:pPr>
        <w:ind w:left="7665" w:hanging="720"/>
      </w:pPr>
    </w:lvl>
  </w:abstractNum>
  <w:abstractNum w:abstractNumId="3" w15:restartNumberingAfterBreak="0">
    <w:nsid w:val="0028367F"/>
    <w:multiLevelType w:val="multilevel"/>
    <w:tmpl w:val="DC30D21E"/>
    <w:lvl w:ilvl="0">
      <w:start w:val="3"/>
      <w:numFmt w:val="decimal"/>
      <w:lvlText w:val="%1.0"/>
      <w:lvlJc w:val="left"/>
      <w:pPr>
        <w:ind w:left="1596" w:hanging="360"/>
      </w:pPr>
      <w:rPr>
        <w:rFonts w:cs="Times New Roman" w:hint="default"/>
      </w:rPr>
    </w:lvl>
    <w:lvl w:ilvl="1">
      <w:start w:val="1"/>
      <w:numFmt w:val="decimal"/>
      <w:lvlText w:val="%1.%2"/>
      <w:lvlJc w:val="left"/>
      <w:pPr>
        <w:ind w:left="2316" w:hanging="360"/>
      </w:pPr>
      <w:rPr>
        <w:rFonts w:cs="Times New Roman" w:hint="default"/>
      </w:rPr>
    </w:lvl>
    <w:lvl w:ilvl="2">
      <w:start w:val="1"/>
      <w:numFmt w:val="decimal"/>
      <w:lvlText w:val="%1.%2.%3"/>
      <w:lvlJc w:val="left"/>
      <w:pPr>
        <w:ind w:left="3396" w:hanging="720"/>
      </w:pPr>
      <w:rPr>
        <w:rFonts w:cs="Times New Roman" w:hint="default"/>
      </w:rPr>
    </w:lvl>
    <w:lvl w:ilvl="3">
      <w:start w:val="1"/>
      <w:numFmt w:val="decimal"/>
      <w:lvlText w:val="%1.%2.%3.%4"/>
      <w:lvlJc w:val="left"/>
      <w:pPr>
        <w:ind w:left="4116" w:hanging="720"/>
      </w:pPr>
      <w:rPr>
        <w:rFonts w:cs="Times New Roman" w:hint="default"/>
      </w:rPr>
    </w:lvl>
    <w:lvl w:ilvl="4">
      <w:start w:val="1"/>
      <w:numFmt w:val="decimal"/>
      <w:lvlText w:val="%1.%2.%3.%4.%5"/>
      <w:lvlJc w:val="left"/>
      <w:pPr>
        <w:ind w:left="5196" w:hanging="1080"/>
      </w:pPr>
      <w:rPr>
        <w:rFonts w:cs="Times New Roman" w:hint="default"/>
      </w:rPr>
    </w:lvl>
    <w:lvl w:ilvl="5">
      <w:start w:val="1"/>
      <w:numFmt w:val="decimal"/>
      <w:lvlText w:val="%1.%2.%3.%4.%5.%6"/>
      <w:lvlJc w:val="left"/>
      <w:pPr>
        <w:ind w:left="5916" w:hanging="1080"/>
      </w:pPr>
      <w:rPr>
        <w:rFonts w:cs="Times New Roman" w:hint="default"/>
      </w:rPr>
    </w:lvl>
    <w:lvl w:ilvl="6">
      <w:start w:val="1"/>
      <w:numFmt w:val="decimal"/>
      <w:lvlText w:val="%1.%2.%3.%4.%5.%6.%7"/>
      <w:lvlJc w:val="left"/>
      <w:pPr>
        <w:ind w:left="6996" w:hanging="1440"/>
      </w:pPr>
      <w:rPr>
        <w:rFonts w:cs="Times New Roman" w:hint="default"/>
      </w:rPr>
    </w:lvl>
    <w:lvl w:ilvl="7">
      <w:start w:val="1"/>
      <w:numFmt w:val="decimal"/>
      <w:lvlText w:val="%1.%2.%3.%4.%5.%6.%7.%8"/>
      <w:lvlJc w:val="left"/>
      <w:pPr>
        <w:ind w:left="7716" w:hanging="1440"/>
      </w:pPr>
      <w:rPr>
        <w:rFonts w:cs="Times New Roman" w:hint="default"/>
      </w:rPr>
    </w:lvl>
    <w:lvl w:ilvl="8">
      <w:start w:val="1"/>
      <w:numFmt w:val="decimal"/>
      <w:lvlText w:val="%1.%2.%3.%4.%5.%6.%7.%8.%9"/>
      <w:lvlJc w:val="left"/>
      <w:pPr>
        <w:ind w:left="8796" w:hanging="1800"/>
      </w:pPr>
      <w:rPr>
        <w:rFonts w:cs="Times New Roman" w:hint="default"/>
      </w:rPr>
    </w:lvl>
  </w:abstractNum>
  <w:abstractNum w:abstractNumId="4" w15:restartNumberingAfterBreak="0">
    <w:nsid w:val="054D0C9F"/>
    <w:multiLevelType w:val="multilevel"/>
    <w:tmpl w:val="DB90A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4295B"/>
    <w:multiLevelType w:val="multilevel"/>
    <w:tmpl w:val="A9CEE6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0124FB"/>
    <w:multiLevelType w:val="multilevel"/>
    <w:tmpl w:val="EA5A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92D29"/>
    <w:multiLevelType w:val="multilevel"/>
    <w:tmpl w:val="8CAC4C1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6FC0193"/>
    <w:multiLevelType w:val="hybridMultilevel"/>
    <w:tmpl w:val="3D9E4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53976"/>
    <w:multiLevelType w:val="multilevel"/>
    <w:tmpl w:val="39945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B31A23"/>
    <w:multiLevelType w:val="hybridMultilevel"/>
    <w:tmpl w:val="DCB4A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361F"/>
    <w:multiLevelType w:val="multilevel"/>
    <w:tmpl w:val="FA203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C55177"/>
    <w:multiLevelType w:val="multilevel"/>
    <w:tmpl w:val="FA727998"/>
    <w:lvl w:ilvl="0">
      <w:start w:val="1"/>
      <w:numFmt w:val="decimal"/>
      <w:lvlText w:val="%1."/>
      <w:lvlJc w:val="left"/>
      <w:pPr>
        <w:ind w:left="540" w:hanging="540"/>
      </w:pPr>
      <w:rPr>
        <w:rFonts w:cs="Times New Roman" w:hint="default"/>
      </w:rPr>
    </w:lvl>
    <w:lvl w:ilvl="1">
      <w:start w:val="1"/>
      <w:numFmt w:val="decimal"/>
      <w:lvlText w:val="%1.%2."/>
      <w:lvlJc w:val="left"/>
      <w:pPr>
        <w:ind w:left="1158" w:hanging="540"/>
      </w:pPr>
      <w:rPr>
        <w:rFonts w:cs="Times New Roman" w:hint="default"/>
      </w:rPr>
    </w:lvl>
    <w:lvl w:ilvl="2">
      <w:start w:val="1"/>
      <w:numFmt w:val="decimal"/>
      <w:lvlText w:val="%1.%2.%3."/>
      <w:lvlJc w:val="left"/>
      <w:pPr>
        <w:ind w:left="1620"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3" w15:restartNumberingAfterBreak="0">
    <w:nsid w:val="274B3195"/>
    <w:multiLevelType w:val="multilevel"/>
    <w:tmpl w:val="DC9A78F8"/>
    <w:lvl w:ilvl="0">
      <w:start w:val="1"/>
      <w:numFmt w:val="decimal"/>
      <w:lvlText w:val="%1"/>
      <w:lvlJc w:val="left"/>
      <w:pPr>
        <w:ind w:left="480" w:hanging="480"/>
      </w:pPr>
      <w:rPr>
        <w:rFonts w:cs="Times New Roman" w:hint="default"/>
      </w:rPr>
    </w:lvl>
    <w:lvl w:ilvl="1">
      <w:start w:val="1"/>
      <w:numFmt w:val="decimal"/>
      <w:lvlText w:val="%1.%2"/>
      <w:lvlJc w:val="left"/>
      <w:pPr>
        <w:ind w:left="1098" w:hanging="480"/>
      </w:pPr>
      <w:rPr>
        <w:rFonts w:cs="Times New Roman" w:hint="default"/>
      </w:rPr>
    </w:lvl>
    <w:lvl w:ilvl="2">
      <w:start w:val="1"/>
      <w:numFmt w:val="decimal"/>
      <w:lvlText w:val="%1.%2.%3"/>
      <w:lvlJc w:val="left"/>
      <w:pPr>
        <w:ind w:left="1956" w:hanging="720"/>
      </w:pPr>
      <w:rPr>
        <w:rFonts w:cs="Times New Roman" w:hint="default"/>
      </w:rPr>
    </w:lvl>
    <w:lvl w:ilvl="3">
      <w:start w:val="1"/>
      <w:numFmt w:val="decimal"/>
      <w:lvlText w:val="%1.%2.%3.%4"/>
      <w:lvlJc w:val="left"/>
      <w:pPr>
        <w:ind w:left="2574" w:hanging="720"/>
      </w:pPr>
      <w:rPr>
        <w:rFonts w:cs="Times New Roman" w:hint="default"/>
      </w:rPr>
    </w:lvl>
    <w:lvl w:ilvl="4">
      <w:start w:val="1"/>
      <w:numFmt w:val="decimal"/>
      <w:lvlText w:val="%1.%2.%3.%4.%5"/>
      <w:lvlJc w:val="left"/>
      <w:pPr>
        <w:ind w:left="3552" w:hanging="1080"/>
      </w:pPr>
      <w:rPr>
        <w:rFonts w:cs="Times New Roman" w:hint="default"/>
      </w:rPr>
    </w:lvl>
    <w:lvl w:ilvl="5">
      <w:start w:val="1"/>
      <w:numFmt w:val="decimal"/>
      <w:lvlText w:val="%1.%2.%3.%4.%5.%6"/>
      <w:lvlJc w:val="left"/>
      <w:pPr>
        <w:ind w:left="4170" w:hanging="1080"/>
      </w:pPr>
      <w:rPr>
        <w:rFonts w:cs="Times New Roman" w:hint="default"/>
      </w:rPr>
    </w:lvl>
    <w:lvl w:ilvl="6">
      <w:start w:val="1"/>
      <w:numFmt w:val="decimal"/>
      <w:lvlText w:val="%1.%2.%3.%4.%5.%6.%7"/>
      <w:lvlJc w:val="left"/>
      <w:pPr>
        <w:ind w:left="5148" w:hanging="1440"/>
      </w:pPr>
      <w:rPr>
        <w:rFonts w:cs="Times New Roman" w:hint="default"/>
      </w:rPr>
    </w:lvl>
    <w:lvl w:ilvl="7">
      <w:start w:val="1"/>
      <w:numFmt w:val="decimal"/>
      <w:lvlText w:val="%1.%2.%3.%4.%5.%6.%7.%8"/>
      <w:lvlJc w:val="left"/>
      <w:pPr>
        <w:ind w:left="5766" w:hanging="1440"/>
      </w:pPr>
      <w:rPr>
        <w:rFonts w:cs="Times New Roman" w:hint="default"/>
      </w:rPr>
    </w:lvl>
    <w:lvl w:ilvl="8">
      <w:start w:val="1"/>
      <w:numFmt w:val="decimal"/>
      <w:lvlText w:val="%1.%2.%3.%4.%5.%6.%7.%8.%9"/>
      <w:lvlJc w:val="left"/>
      <w:pPr>
        <w:ind w:left="6744" w:hanging="1800"/>
      </w:pPr>
      <w:rPr>
        <w:rFonts w:cs="Times New Roman" w:hint="default"/>
      </w:rPr>
    </w:lvl>
  </w:abstractNum>
  <w:abstractNum w:abstractNumId="14" w15:restartNumberingAfterBreak="0">
    <w:nsid w:val="2894649E"/>
    <w:multiLevelType w:val="multilevel"/>
    <w:tmpl w:val="3DDECDF8"/>
    <w:lvl w:ilvl="0">
      <w:start w:val="1"/>
      <w:numFmt w:val="decimal"/>
      <w:lvlText w:val="%1"/>
      <w:lvlJc w:val="left"/>
      <w:pPr>
        <w:ind w:left="480" w:hanging="480"/>
      </w:pPr>
      <w:rPr>
        <w:rFonts w:cs="Times New Roman" w:hint="default"/>
      </w:rPr>
    </w:lvl>
    <w:lvl w:ilvl="1">
      <w:start w:val="2"/>
      <w:numFmt w:val="decimal"/>
      <w:lvlText w:val="%1.%2"/>
      <w:lvlJc w:val="left"/>
      <w:pPr>
        <w:ind w:left="1458" w:hanging="480"/>
      </w:pPr>
      <w:rPr>
        <w:rFonts w:cs="Times New Roman" w:hint="default"/>
      </w:rPr>
    </w:lvl>
    <w:lvl w:ilvl="2">
      <w:start w:val="1"/>
      <w:numFmt w:val="decimal"/>
      <w:lvlText w:val="%1.%2.%3"/>
      <w:lvlJc w:val="left"/>
      <w:pPr>
        <w:ind w:left="2676" w:hanging="720"/>
      </w:pPr>
      <w:rPr>
        <w:rFonts w:cs="Times New Roman" w:hint="default"/>
      </w:rPr>
    </w:lvl>
    <w:lvl w:ilvl="3">
      <w:start w:val="1"/>
      <w:numFmt w:val="decimal"/>
      <w:lvlText w:val="%1.%2.%3.%4"/>
      <w:lvlJc w:val="left"/>
      <w:pPr>
        <w:ind w:left="3654" w:hanging="720"/>
      </w:pPr>
      <w:rPr>
        <w:rFonts w:cs="Times New Roman" w:hint="default"/>
      </w:rPr>
    </w:lvl>
    <w:lvl w:ilvl="4">
      <w:start w:val="1"/>
      <w:numFmt w:val="decimal"/>
      <w:lvlText w:val="%1.%2.%3.%4.%5"/>
      <w:lvlJc w:val="left"/>
      <w:pPr>
        <w:ind w:left="4992" w:hanging="1080"/>
      </w:pPr>
      <w:rPr>
        <w:rFonts w:cs="Times New Roman" w:hint="default"/>
      </w:rPr>
    </w:lvl>
    <w:lvl w:ilvl="5">
      <w:start w:val="1"/>
      <w:numFmt w:val="decimal"/>
      <w:lvlText w:val="%1.%2.%3.%4.%5.%6"/>
      <w:lvlJc w:val="left"/>
      <w:pPr>
        <w:ind w:left="5970" w:hanging="1080"/>
      </w:pPr>
      <w:rPr>
        <w:rFonts w:cs="Times New Roman" w:hint="default"/>
      </w:rPr>
    </w:lvl>
    <w:lvl w:ilvl="6">
      <w:start w:val="1"/>
      <w:numFmt w:val="decimal"/>
      <w:lvlText w:val="%1.%2.%3.%4.%5.%6.%7"/>
      <w:lvlJc w:val="left"/>
      <w:pPr>
        <w:ind w:left="7308" w:hanging="1440"/>
      </w:pPr>
      <w:rPr>
        <w:rFonts w:cs="Times New Roman" w:hint="default"/>
      </w:rPr>
    </w:lvl>
    <w:lvl w:ilvl="7">
      <w:start w:val="1"/>
      <w:numFmt w:val="decimal"/>
      <w:lvlText w:val="%1.%2.%3.%4.%5.%6.%7.%8"/>
      <w:lvlJc w:val="left"/>
      <w:pPr>
        <w:ind w:left="8286" w:hanging="1440"/>
      </w:pPr>
      <w:rPr>
        <w:rFonts w:cs="Times New Roman" w:hint="default"/>
      </w:rPr>
    </w:lvl>
    <w:lvl w:ilvl="8">
      <w:start w:val="1"/>
      <w:numFmt w:val="decimal"/>
      <w:lvlText w:val="%1.%2.%3.%4.%5.%6.%7.%8.%9"/>
      <w:lvlJc w:val="left"/>
      <w:pPr>
        <w:ind w:left="9624" w:hanging="1800"/>
      </w:pPr>
      <w:rPr>
        <w:rFonts w:cs="Times New Roman" w:hint="default"/>
      </w:rPr>
    </w:lvl>
  </w:abstractNum>
  <w:abstractNum w:abstractNumId="15" w15:restartNumberingAfterBreak="0">
    <w:nsid w:val="291E1FF8"/>
    <w:multiLevelType w:val="hybridMultilevel"/>
    <w:tmpl w:val="3E74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962F2"/>
    <w:multiLevelType w:val="hybridMultilevel"/>
    <w:tmpl w:val="58868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9D17616"/>
    <w:multiLevelType w:val="multilevel"/>
    <w:tmpl w:val="14E4C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495E97"/>
    <w:multiLevelType w:val="hybridMultilevel"/>
    <w:tmpl w:val="155CC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50550D"/>
    <w:multiLevelType w:val="hybridMultilevel"/>
    <w:tmpl w:val="3F7A8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56509B"/>
    <w:multiLevelType w:val="hybridMultilevel"/>
    <w:tmpl w:val="43E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743B7E"/>
    <w:multiLevelType w:val="hybridMultilevel"/>
    <w:tmpl w:val="3BA20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6A73B4"/>
    <w:multiLevelType w:val="hybridMultilevel"/>
    <w:tmpl w:val="FDFC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05443F"/>
    <w:multiLevelType w:val="hybridMultilevel"/>
    <w:tmpl w:val="B9C67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5E5BE3"/>
    <w:multiLevelType w:val="hybridMultilevel"/>
    <w:tmpl w:val="F6468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6B0872"/>
    <w:multiLevelType w:val="multilevel"/>
    <w:tmpl w:val="3F0AE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197F20"/>
    <w:multiLevelType w:val="multilevel"/>
    <w:tmpl w:val="8B023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5D604E"/>
    <w:multiLevelType w:val="multilevel"/>
    <w:tmpl w:val="CD802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A467D1"/>
    <w:multiLevelType w:val="hybridMultilevel"/>
    <w:tmpl w:val="24B4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6559DD"/>
    <w:multiLevelType w:val="multilevel"/>
    <w:tmpl w:val="7F68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E8E584C"/>
    <w:multiLevelType w:val="hybridMultilevel"/>
    <w:tmpl w:val="6C2C35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9744F1"/>
    <w:multiLevelType w:val="hybridMultilevel"/>
    <w:tmpl w:val="0FB4D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1572AE"/>
    <w:multiLevelType w:val="hybridMultilevel"/>
    <w:tmpl w:val="C7664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260E00"/>
    <w:multiLevelType w:val="multilevel"/>
    <w:tmpl w:val="B1DA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155363"/>
    <w:multiLevelType w:val="hybridMultilevel"/>
    <w:tmpl w:val="ABAE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B34EE3"/>
    <w:multiLevelType w:val="multilevel"/>
    <w:tmpl w:val="1B8E8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D067B7"/>
    <w:multiLevelType w:val="hybridMultilevel"/>
    <w:tmpl w:val="4564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5184F"/>
    <w:multiLevelType w:val="hybridMultilevel"/>
    <w:tmpl w:val="680C1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C60456"/>
    <w:multiLevelType w:val="hybridMultilevel"/>
    <w:tmpl w:val="1272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4F387E"/>
    <w:multiLevelType w:val="hybridMultilevel"/>
    <w:tmpl w:val="0658D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6A61DE"/>
    <w:multiLevelType w:val="multilevel"/>
    <w:tmpl w:val="7AFC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ADC4204"/>
    <w:multiLevelType w:val="hybridMultilevel"/>
    <w:tmpl w:val="891C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F474B2"/>
    <w:multiLevelType w:val="hybridMultilevel"/>
    <w:tmpl w:val="63368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976036"/>
    <w:multiLevelType w:val="hybridMultilevel"/>
    <w:tmpl w:val="DFEAA64E"/>
    <w:lvl w:ilvl="0" w:tplc="0409000B">
      <w:start w:val="1"/>
      <w:numFmt w:val="bullet"/>
      <w:lvlText w:val=""/>
      <w:lvlJc w:val="left"/>
      <w:pPr>
        <w:ind w:left="720" w:hanging="360"/>
      </w:pPr>
      <w:rPr>
        <w:rFonts w:ascii="Wingdings" w:hAnsi="Wingdings" w:hint="default"/>
      </w:rPr>
    </w:lvl>
    <w:lvl w:ilvl="1" w:tplc="97E48AF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922207"/>
    <w:multiLevelType w:val="multilevel"/>
    <w:tmpl w:val="34867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9"/>
  </w:num>
  <w:num w:numId="3">
    <w:abstractNumId w:val="44"/>
  </w:num>
  <w:num w:numId="4">
    <w:abstractNumId w:val="16"/>
  </w:num>
  <w:num w:numId="5">
    <w:abstractNumId w:val="41"/>
  </w:num>
  <w:num w:numId="6">
    <w:abstractNumId w:val="18"/>
  </w:num>
  <w:num w:numId="7">
    <w:abstractNumId w:val="15"/>
  </w:num>
  <w:num w:numId="8">
    <w:abstractNumId w:val="39"/>
  </w:num>
  <w:num w:numId="9">
    <w:abstractNumId w:val="8"/>
  </w:num>
  <w:num w:numId="10">
    <w:abstractNumId w:val="23"/>
  </w:num>
  <w:num w:numId="11">
    <w:abstractNumId w:val="42"/>
  </w:num>
  <w:num w:numId="12">
    <w:abstractNumId w:val="21"/>
  </w:num>
  <w:num w:numId="13">
    <w:abstractNumId w:val="30"/>
  </w:num>
  <w:num w:numId="14">
    <w:abstractNumId w:val="27"/>
  </w:num>
  <w:num w:numId="15">
    <w:abstractNumId w:val="37"/>
  </w:num>
  <w:num w:numId="16">
    <w:abstractNumId w:val="28"/>
  </w:num>
  <w:num w:numId="17">
    <w:abstractNumId w:val="36"/>
  </w:num>
  <w:num w:numId="18">
    <w:abstractNumId w:val="38"/>
  </w:num>
  <w:num w:numId="19">
    <w:abstractNumId w:val="20"/>
  </w:num>
  <w:num w:numId="20">
    <w:abstractNumId w:val="43"/>
  </w:num>
  <w:num w:numId="21">
    <w:abstractNumId w:val="22"/>
  </w:num>
  <w:num w:numId="22">
    <w:abstractNumId w:val="32"/>
  </w:num>
  <w:num w:numId="23">
    <w:abstractNumId w:val="26"/>
  </w:num>
  <w:num w:numId="24">
    <w:abstractNumId w:val="33"/>
  </w:num>
  <w:num w:numId="25">
    <w:abstractNumId w:val="11"/>
  </w:num>
  <w:num w:numId="26">
    <w:abstractNumId w:val="5"/>
  </w:num>
  <w:num w:numId="27">
    <w:abstractNumId w:val="6"/>
  </w:num>
  <w:num w:numId="28">
    <w:abstractNumId w:val="35"/>
  </w:num>
  <w:num w:numId="29">
    <w:abstractNumId w:val="4"/>
  </w:num>
  <w:num w:numId="30">
    <w:abstractNumId w:val="40"/>
  </w:num>
  <w:num w:numId="31">
    <w:abstractNumId w:val="25"/>
  </w:num>
  <w:num w:numId="32">
    <w:abstractNumId w:val="17"/>
  </w:num>
  <w:num w:numId="33">
    <w:abstractNumId w:val="10"/>
  </w:num>
  <w:num w:numId="34">
    <w:abstractNumId w:val="7"/>
  </w:num>
  <w:num w:numId="35">
    <w:abstractNumId w:val="2"/>
  </w:num>
  <w:num w:numId="36">
    <w:abstractNumId w:val="1"/>
  </w:num>
  <w:num w:numId="37">
    <w:abstractNumId w:val="0"/>
  </w:num>
  <w:num w:numId="38">
    <w:abstractNumId w:val="12"/>
  </w:num>
  <w:num w:numId="39">
    <w:abstractNumId w:val="13"/>
  </w:num>
  <w:num w:numId="40">
    <w:abstractNumId w:val="3"/>
  </w:num>
  <w:num w:numId="41">
    <w:abstractNumId w:val="14"/>
  </w:num>
  <w:num w:numId="42">
    <w:abstractNumId w:val="24"/>
  </w:num>
  <w:num w:numId="43">
    <w:abstractNumId w:val="19"/>
  </w:num>
  <w:num w:numId="44">
    <w:abstractNumId w:val="3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51"/>
    <w:rsid w:val="00007C45"/>
    <w:rsid w:val="00015D13"/>
    <w:rsid w:val="000524D3"/>
    <w:rsid w:val="0007091C"/>
    <w:rsid w:val="00070F60"/>
    <w:rsid w:val="000729CB"/>
    <w:rsid w:val="00081097"/>
    <w:rsid w:val="00082657"/>
    <w:rsid w:val="00086F43"/>
    <w:rsid w:val="00095C89"/>
    <w:rsid w:val="000A12A8"/>
    <w:rsid w:val="000B0231"/>
    <w:rsid w:val="000D2D39"/>
    <w:rsid w:val="000D2E34"/>
    <w:rsid w:val="000D4BD6"/>
    <w:rsid w:val="000E0F59"/>
    <w:rsid w:val="000E5807"/>
    <w:rsid w:val="000F223C"/>
    <w:rsid w:val="000F318D"/>
    <w:rsid w:val="0011276B"/>
    <w:rsid w:val="001208DF"/>
    <w:rsid w:val="00122A7F"/>
    <w:rsid w:val="00127EE4"/>
    <w:rsid w:val="00166CE6"/>
    <w:rsid w:val="001862B0"/>
    <w:rsid w:val="00191A56"/>
    <w:rsid w:val="001A338F"/>
    <w:rsid w:val="001A7D66"/>
    <w:rsid w:val="001B6594"/>
    <w:rsid w:val="001C7DCA"/>
    <w:rsid w:val="001D2E96"/>
    <w:rsid w:val="001D58FE"/>
    <w:rsid w:val="001E5010"/>
    <w:rsid w:val="001E6B9D"/>
    <w:rsid w:val="001F1A3E"/>
    <w:rsid w:val="00201FC8"/>
    <w:rsid w:val="002109F3"/>
    <w:rsid w:val="00217E02"/>
    <w:rsid w:val="00220718"/>
    <w:rsid w:val="002307BC"/>
    <w:rsid w:val="00235E0D"/>
    <w:rsid w:val="00237A74"/>
    <w:rsid w:val="00240CBF"/>
    <w:rsid w:val="00245451"/>
    <w:rsid w:val="002659A8"/>
    <w:rsid w:val="00292868"/>
    <w:rsid w:val="00294E09"/>
    <w:rsid w:val="002A44A9"/>
    <w:rsid w:val="002A5134"/>
    <w:rsid w:val="002A5D01"/>
    <w:rsid w:val="002B6F04"/>
    <w:rsid w:val="002D295B"/>
    <w:rsid w:val="002E4BE0"/>
    <w:rsid w:val="002F1168"/>
    <w:rsid w:val="00306FC0"/>
    <w:rsid w:val="00316829"/>
    <w:rsid w:val="003563FD"/>
    <w:rsid w:val="00362E6D"/>
    <w:rsid w:val="00367BB4"/>
    <w:rsid w:val="003879BC"/>
    <w:rsid w:val="003920CF"/>
    <w:rsid w:val="003B0127"/>
    <w:rsid w:val="003B1BA5"/>
    <w:rsid w:val="003B1F03"/>
    <w:rsid w:val="003B3AB1"/>
    <w:rsid w:val="003D10E8"/>
    <w:rsid w:val="003D2CF0"/>
    <w:rsid w:val="003D324D"/>
    <w:rsid w:val="003D3F84"/>
    <w:rsid w:val="003E4454"/>
    <w:rsid w:val="003F7946"/>
    <w:rsid w:val="00405822"/>
    <w:rsid w:val="004206A0"/>
    <w:rsid w:val="0042247F"/>
    <w:rsid w:val="004259DD"/>
    <w:rsid w:val="004420AF"/>
    <w:rsid w:val="00442770"/>
    <w:rsid w:val="004428EF"/>
    <w:rsid w:val="004434E7"/>
    <w:rsid w:val="00446D0E"/>
    <w:rsid w:val="0047551B"/>
    <w:rsid w:val="0048715A"/>
    <w:rsid w:val="0048743A"/>
    <w:rsid w:val="004A32EE"/>
    <w:rsid w:val="004B5605"/>
    <w:rsid w:val="004C6A2C"/>
    <w:rsid w:val="004D2C67"/>
    <w:rsid w:val="004D32B0"/>
    <w:rsid w:val="004E1694"/>
    <w:rsid w:val="004E76D6"/>
    <w:rsid w:val="00543BB6"/>
    <w:rsid w:val="00554E82"/>
    <w:rsid w:val="00556204"/>
    <w:rsid w:val="00563630"/>
    <w:rsid w:val="00571414"/>
    <w:rsid w:val="00572815"/>
    <w:rsid w:val="00583EB9"/>
    <w:rsid w:val="005947D8"/>
    <w:rsid w:val="005A2FB9"/>
    <w:rsid w:val="005A794D"/>
    <w:rsid w:val="005B2EC3"/>
    <w:rsid w:val="005B7E8C"/>
    <w:rsid w:val="005D130A"/>
    <w:rsid w:val="005E0C7D"/>
    <w:rsid w:val="005E4565"/>
    <w:rsid w:val="00620978"/>
    <w:rsid w:val="0063018F"/>
    <w:rsid w:val="00631EA2"/>
    <w:rsid w:val="00664224"/>
    <w:rsid w:val="00672360"/>
    <w:rsid w:val="00673F68"/>
    <w:rsid w:val="006974B1"/>
    <w:rsid w:val="006A6536"/>
    <w:rsid w:val="006B23AA"/>
    <w:rsid w:val="006B53F8"/>
    <w:rsid w:val="006C41E8"/>
    <w:rsid w:val="006C5AEA"/>
    <w:rsid w:val="006C7F64"/>
    <w:rsid w:val="006E6151"/>
    <w:rsid w:val="006E6589"/>
    <w:rsid w:val="006F0127"/>
    <w:rsid w:val="006F675C"/>
    <w:rsid w:val="00734557"/>
    <w:rsid w:val="007373F2"/>
    <w:rsid w:val="007467D9"/>
    <w:rsid w:val="0075477E"/>
    <w:rsid w:val="00755BB4"/>
    <w:rsid w:val="00764564"/>
    <w:rsid w:val="00765843"/>
    <w:rsid w:val="00780EF7"/>
    <w:rsid w:val="007A4960"/>
    <w:rsid w:val="007A628A"/>
    <w:rsid w:val="007A6668"/>
    <w:rsid w:val="007B385C"/>
    <w:rsid w:val="007C793E"/>
    <w:rsid w:val="007C7CE4"/>
    <w:rsid w:val="007D5E25"/>
    <w:rsid w:val="007E5A4F"/>
    <w:rsid w:val="007E6A26"/>
    <w:rsid w:val="007F764F"/>
    <w:rsid w:val="007F7F96"/>
    <w:rsid w:val="00802500"/>
    <w:rsid w:val="00802B63"/>
    <w:rsid w:val="00812F20"/>
    <w:rsid w:val="00825A9B"/>
    <w:rsid w:val="008301DD"/>
    <w:rsid w:val="00834918"/>
    <w:rsid w:val="0084264F"/>
    <w:rsid w:val="008451D3"/>
    <w:rsid w:val="0085637C"/>
    <w:rsid w:val="00860DEF"/>
    <w:rsid w:val="008654CA"/>
    <w:rsid w:val="00880E54"/>
    <w:rsid w:val="008838A4"/>
    <w:rsid w:val="00884F15"/>
    <w:rsid w:val="00887B43"/>
    <w:rsid w:val="00887DE3"/>
    <w:rsid w:val="00890F8C"/>
    <w:rsid w:val="008B4B21"/>
    <w:rsid w:val="008C4FB6"/>
    <w:rsid w:val="008C765B"/>
    <w:rsid w:val="008D6010"/>
    <w:rsid w:val="008E2D33"/>
    <w:rsid w:val="008F2BCE"/>
    <w:rsid w:val="00907A7B"/>
    <w:rsid w:val="00907FD6"/>
    <w:rsid w:val="009135A1"/>
    <w:rsid w:val="00916723"/>
    <w:rsid w:val="009213B4"/>
    <w:rsid w:val="00921582"/>
    <w:rsid w:val="0093055B"/>
    <w:rsid w:val="00940249"/>
    <w:rsid w:val="009424F5"/>
    <w:rsid w:val="00944097"/>
    <w:rsid w:val="009555F3"/>
    <w:rsid w:val="00962BE2"/>
    <w:rsid w:val="0097691A"/>
    <w:rsid w:val="009A073D"/>
    <w:rsid w:val="009A1195"/>
    <w:rsid w:val="009B2B24"/>
    <w:rsid w:val="009C52C5"/>
    <w:rsid w:val="009C7337"/>
    <w:rsid w:val="009E1860"/>
    <w:rsid w:val="009E1CBD"/>
    <w:rsid w:val="009E4C61"/>
    <w:rsid w:val="009F47B5"/>
    <w:rsid w:val="00A16A6E"/>
    <w:rsid w:val="00A3542B"/>
    <w:rsid w:val="00A42221"/>
    <w:rsid w:val="00A50E58"/>
    <w:rsid w:val="00A514A4"/>
    <w:rsid w:val="00A62D5F"/>
    <w:rsid w:val="00A72800"/>
    <w:rsid w:val="00A81E89"/>
    <w:rsid w:val="00A82D45"/>
    <w:rsid w:val="00A9117B"/>
    <w:rsid w:val="00AB2FB9"/>
    <w:rsid w:val="00AB4CF8"/>
    <w:rsid w:val="00AC0B37"/>
    <w:rsid w:val="00AD2466"/>
    <w:rsid w:val="00AE477F"/>
    <w:rsid w:val="00AF2F14"/>
    <w:rsid w:val="00B20D40"/>
    <w:rsid w:val="00B26B88"/>
    <w:rsid w:val="00B318DF"/>
    <w:rsid w:val="00B4495E"/>
    <w:rsid w:val="00B46552"/>
    <w:rsid w:val="00B5343F"/>
    <w:rsid w:val="00B6661F"/>
    <w:rsid w:val="00B71548"/>
    <w:rsid w:val="00B838B9"/>
    <w:rsid w:val="00BA3993"/>
    <w:rsid w:val="00BA68CB"/>
    <w:rsid w:val="00BC4F49"/>
    <w:rsid w:val="00BC6C64"/>
    <w:rsid w:val="00BD1148"/>
    <w:rsid w:val="00BD248A"/>
    <w:rsid w:val="00BE22DA"/>
    <w:rsid w:val="00BE5D88"/>
    <w:rsid w:val="00BF7B59"/>
    <w:rsid w:val="00C050D7"/>
    <w:rsid w:val="00C36A30"/>
    <w:rsid w:val="00C5767B"/>
    <w:rsid w:val="00C76387"/>
    <w:rsid w:val="00C83329"/>
    <w:rsid w:val="00C9060A"/>
    <w:rsid w:val="00C934E6"/>
    <w:rsid w:val="00CA3F62"/>
    <w:rsid w:val="00CC6AA2"/>
    <w:rsid w:val="00CD3DEA"/>
    <w:rsid w:val="00CF7321"/>
    <w:rsid w:val="00D03EC1"/>
    <w:rsid w:val="00D05BED"/>
    <w:rsid w:val="00D074DD"/>
    <w:rsid w:val="00D118EA"/>
    <w:rsid w:val="00D14750"/>
    <w:rsid w:val="00D16AF5"/>
    <w:rsid w:val="00D305B9"/>
    <w:rsid w:val="00D35936"/>
    <w:rsid w:val="00D41A8D"/>
    <w:rsid w:val="00D52221"/>
    <w:rsid w:val="00D55ADD"/>
    <w:rsid w:val="00D5629F"/>
    <w:rsid w:val="00D70CC5"/>
    <w:rsid w:val="00D71756"/>
    <w:rsid w:val="00D80455"/>
    <w:rsid w:val="00DA3EBE"/>
    <w:rsid w:val="00DB23D6"/>
    <w:rsid w:val="00DB5C90"/>
    <w:rsid w:val="00DD40D3"/>
    <w:rsid w:val="00DE1E49"/>
    <w:rsid w:val="00DF0D5F"/>
    <w:rsid w:val="00DF3AEE"/>
    <w:rsid w:val="00DF5DBA"/>
    <w:rsid w:val="00E0285C"/>
    <w:rsid w:val="00E14B7F"/>
    <w:rsid w:val="00E276D3"/>
    <w:rsid w:val="00E30608"/>
    <w:rsid w:val="00E336BA"/>
    <w:rsid w:val="00E47150"/>
    <w:rsid w:val="00E54813"/>
    <w:rsid w:val="00E62E36"/>
    <w:rsid w:val="00E75916"/>
    <w:rsid w:val="00E95BEF"/>
    <w:rsid w:val="00ED50E1"/>
    <w:rsid w:val="00ED642C"/>
    <w:rsid w:val="00F07AF3"/>
    <w:rsid w:val="00F20F17"/>
    <w:rsid w:val="00F37B9E"/>
    <w:rsid w:val="00F63F46"/>
    <w:rsid w:val="00F73807"/>
    <w:rsid w:val="00F9053B"/>
    <w:rsid w:val="00FD05C6"/>
    <w:rsid w:val="00FD55A6"/>
    <w:rsid w:val="00FF68C7"/>
    <w:rsid w:val="00FF7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698D8"/>
  <w15:chartTrackingRefBased/>
  <w15:docId w15:val="{4D51FF9D-CEA1-4B5C-9213-3F6A39B2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3">
    <w:name w:val="heading 3"/>
    <w:basedOn w:val="Standard"/>
    <w:link w:val="berschrift3Zchn"/>
    <w:uiPriority w:val="9"/>
    <w:qFormat/>
    <w:rsid w:val="007F7F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7F7F96"/>
    <w:rPr>
      <w:rFonts w:ascii="Times New Roman" w:eastAsia="Times New Roman" w:hAnsi="Times New Roman" w:cs="Times New Roman"/>
      <w:b/>
      <w:bCs/>
      <w:sz w:val="27"/>
      <w:szCs w:val="27"/>
    </w:rPr>
  </w:style>
  <w:style w:type="paragraph" w:styleId="Listenabsatz">
    <w:name w:val="List Paragraph"/>
    <w:basedOn w:val="Standard"/>
    <w:uiPriority w:val="34"/>
    <w:qFormat/>
    <w:rsid w:val="001E6B9D"/>
    <w:pPr>
      <w:ind w:left="720"/>
      <w:contextualSpacing/>
    </w:pPr>
  </w:style>
  <w:style w:type="paragraph" w:styleId="StandardWeb">
    <w:name w:val="Normal (Web)"/>
    <w:basedOn w:val="Standard"/>
    <w:uiPriority w:val="99"/>
    <w:unhideWhenUsed/>
    <w:rsid w:val="00070F60"/>
    <w:pPr>
      <w:spacing w:before="100" w:beforeAutospacing="1" w:after="100" w:afterAutospacing="1" w:line="240" w:lineRule="auto"/>
    </w:pPr>
    <w:rPr>
      <w:rFonts w:ascii="Times New Roman" w:eastAsia="Times New Roman" w:hAnsi="Times New Roman" w:cs="Times New Roman"/>
      <w:sz w:val="24"/>
      <w:szCs w:val="24"/>
    </w:rPr>
  </w:style>
  <w:style w:type="paragraph" w:styleId="Sprechblasentext">
    <w:name w:val="Balloon Text"/>
    <w:basedOn w:val="Standard"/>
    <w:link w:val="SprechblasentextZchn"/>
    <w:uiPriority w:val="99"/>
    <w:semiHidden/>
    <w:unhideWhenUsed/>
    <w:rsid w:val="00235E0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35E0D"/>
    <w:rPr>
      <w:rFonts w:ascii="Segoe UI" w:hAnsi="Segoe UI" w:cs="Segoe UI"/>
      <w:sz w:val="18"/>
      <w:szCs w:val="18"/>
    </w:rPr>
  </w:style>
  <w:style w:type="paragraph" w:styleId="KeinLeerraum">
    <w:name w:val="No Spacing"/>
    <w:uiPriority w:val="1"/>
    <w:qFormat/>
    <w:rsid w:val="006C7F64"/>
    <w:pPr>
      <w:spacing w:after="0" w:line="240" w:lineRule="auto"/>
    </w:pPr>
  </w:style>
  <w:style w:type="character" w:styleId="Hyperlink">
    <w:name w:val="Hyperlink"/>
    <w:basedOn w:val="Absatz-Standardschriftart"/>
    <w:uiPriority w:val="99"/>
    <w:semiHidden/>
    <w:unhideWhenUsed/>
    <w:rsid w:val="007F7F96"/>
    <w:rPr>
      <w:color w:val="0000FF"/>
      <w:u w:val="single"/>
    </w:rPr>
  </w:style>
  <w:style w:type="character" w:styleId="Platzhaltertext">
    <w:name w:val="Placeholder Text"/>
    <w:basedOn w:val="Absatz-Standardschriftart"/>
    <w:uiPriority w:val="99"/>
    <w:semiHidden/>
    <w:rsid w:val="00583EB9"/>
    <w:rPr>
      <w:color w:val="808080"/>
    </w:rPr>
  </w:style>
  <w:style w:type="character" w:customStyle="1" w:styleId="TextkrperZchn">
    <w:name w:val="Textkörper Zchn"/>
    <w:basedOn w:val="Absatz-Standardschriftart"/>
    <w:link w:val="Textkrper"/>
    <w:rsid w:val="00E0285C"/>
  </w:style>
  <w:style w:type="paragraph" w:styleId="Textkrper">
    <w:name w:val="Body Text"/>
    <w:basedOn w:val="Standard"/>
    <w:link w:val="TextkrperZchn"/>
    <w:rsid w:val="00E0285C"/>
    <w:pPr>
      <w:suppressAutoHyphens/>
      <w:spacing w:after="140" w:line="276" w:lineRule="auto"/>
    </w:pPr>
  </w:style>
  <w:style w:type="character" w:customStyle="1" w:styleId="KopfzeileZchn">
    <w:name w:val="Kopfzeile Zchn"/>
    <w:basedOn w:val="Absatz-Standardschriftart"/>
    <w:link w:val="Kopfzeile"/>
    <w:uiPriority w:val="99"/>
    <w:rsid w:val="00E0285C"/>
  </w:style>
  <w:style w:type="paragraph" w:styleId="Kopfzeile">
    <w:name w:val="header"/>
    <w:basedOn w:val="Standard"/>
    <w:link w:val="KopfzeileZchn"/>
    <w:uiPriority w:val="99"/>
    <w:unhideWhenUsed/>
    <w:rsid w:val="00E0285C"/>
    <w:pPr>
      <w:tabs>
        <w:tab w:val="center" w:pos="4680"/>
        <w:tab w:val="right" w:pos="9360"/>
      </w:tabs>
      <w:suppressAutoHyphens/>
      <w:spacing w:after="0" w:line="240" w:lineRule="auto"/>
    </w:pPr>
  </w:style>
  <w:style w:type="character" w:customStyle="1" w:styleId="FuzeileZchn">
    <w:name w:val="Fußzeile Zchn"/>
    <w:basedOn w:val="Absatz-Standardschriftart"/>
    <w:link w:val="Fuzeile"/>
    <w:uiPriority w:val="99"/>
    <w:rsid w:val="00E0285C"/>
  </w:style>
  <w:style w:type="paragraph" w:styleId="Fuzeile">
    <w:name w:val="footer"/>
    <w:basedOn w:val="Standard"/>
    <w:link w:val="FuzeileZchn"/>
    <w:uiPriority w:val="99"/>
    <w:unhideWhenUsed/>
    <w:rsid w:val="00E0285C"/>
    <w:pPr>
      <w:tabs>
        <w:tab w:val="center" w:pos="4680"/>
        <w:tab w:val="right" w:pos="9360"/>
      </w:tabs>
      <w:suppressAutoHyphen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81173">
      <w:bodyDiv w:val="1"/>
      <w:marLeft w:val="0"/>
      <w:marRight w:val="0"/>
      <w:marTop w:val="0"/>
      <w:marBottom w:val="0"/>
      <w:divBdr>
        <w:top w:val="none" w:sz="0" w:space="0" w:color="auto"/>
        <w:left w:val="none" w:sz="0" w:space="0" w:color="auto"/>
        <w:bottom w:val="none" w:sz="0" w:space="0" w:color="auto"/>
        <w:right w:val="none" w:sz="0" w:space="0" w:color="auto"/>
      </w:divBdr>
    </w:div>
    <w:div w:id="777524216">
      <w:bodyDiv w:val="1"/>
      <w:marLeft w:val="0"/>
      <w:marRight w:val="0"/>
      <w:marTop w:val="0"/>
      <w:marBottom w:val="0"/>
      <w:divBdr>
        <w:top w:val="none" w:sz="0" w:space="0" w:color="auto"/>
        <w:left w:val="none" w:sz="0" w:space="0" w:color="auto"/>
        <w:bottom w:val="none" w:sz="0" w:space="0" w:color="auto"/>
        <w:right w:val="none" w:sz="0" w:space="0" w:color="auto"/>
      </w:divBdr>
    </w:div>
    <w:div w:id="924262406">
      <w:bodyDiv w:val="1"/>
      <w:marLeft w:val="0"/>
      <w:marRight w:val="0"/>
      <w:marTop w:val="0"/>
      <w:marBottom w:val="0"/>
      <w:divBdr>
        <w:top w:val="none" w:sz="0" w:space="0" w:color="auto"/>
        <w:left w:val="none" w:sz="0" w:space="0" w:color="auto"/>
        <w:bottom w:val="none" w:sz="0" w:space="0" w:color="auto"/>
        <w:right w:val="none" w:sz="0" w:space="0" w:color="auto"/>
      </w:divBdr>
      <w:divsChild>
        <w:div w:id="1579290329">
          <w:marLeft w:val="0"/>
          <w:marRight w:val="0"/>
          <w:marTop w:val="0"/>
          <w:marBottom w:val="0"/>
          <w:divBdr>
            <w:top w:val="none" w:sz="0" w:space="0" w:color="auto"/>
            <w:left w:val="none" w:sz="0" w:space="0" w:color="auto"/>
            <w:bottom w:val="none" w:sz="0" w:space="0" w:color="auto"/>
            <w:right w:val="none" w:sz="0" w:space="0" w:color="auto"/>
          </w:divBdr>
        </w:div>
        <w:div w:id="2082169277">
          <w:marLeft w:val="0"/>
          <w:marRight w:val="0"/>
          <w:marTop w:val="0"/>
          <w:marBottom w:val="0"/>
          <w:divBdr>
            <w:top w:val="none" w:sz="0" w:space="0" w:color="auto"/>
            <w:left w:val="none" w:sz="0" w:space="0" w:color="auto"/>
            <w:bottom w:val="none" w:sz="0" w:space="0" w:color="auto"/>
            <w:right w:val="none" w:sz="0" w:space="0" w:color="auto"/>
          </w:divBdr>
        </w:div>
      </w:divsChild>
    </w:div>
    <w:div w:id="965547865">
      <w:bodyDiv w:val="1"/>
      <w:marLeft w:val="0"/>
      <w:marRight w:val="0"/>
      <w:marTop w:val="0"/>
      <w:marBottom w:val="0"/>
      <w:divBdr>
        <w:top w:val="none" w:sz="0" w:space="0" w:color="auto"/>
        <w:left w:val="none" w:sz="0" w:space="0" w:color="auto"/>
        <w:bottom w:val="none" w:sz="0" w:space="0" w:color="auto"/>
        <w:right w:val="none" w:sz="0" w:space="0" w:color="auto"/>
      </w:divBdr>
      <w:divsChild>
        <w:div w:id="23211306">
          <w:marLeft w:val="0"/>
          <w:marRight w:val="0"/>
          <w:marTop w:val="0"/>
          <w:marBottom w:val="300"/>
          <w:divBdr>
            <w:top w:val="none" w:sz="0" w:space="0" w:color="auto"/>
            <w:left w:val="none" w:sz="0" w:space="0" w:color="auto"/>
            <w:bottom w:val="none" w:sz="0" w:space="0" w:color="auto"/>
            <w:right w:val="none" w:sz="0" w:space="0" w:color="auto"/>
          </w:divBdr>
          <w:divsChild>
            <w:div w:id="1156147921">
              <w:marLeft w:val="0"/>
              <w:marRight w:val="0"/>
              <w:marTop w:val="0"/>
              <w:marBottom w:val="0"/>
              <w:divBdr>
                <w:top w:val="none" w:sz="0" w:space="0" w:color="auto"/>
                <w:left w:val="none" w:sz="0" w:space="0" w:color="auto"/>
                <w:bottom w:val="none" w:sz="0" w:space="0" w:color="auto"/>
                <w:right w:val="none" w:sz="0" w:space="0" w:color="auto"/>
              </w:divBdr>
            </w:div>
          </w:divsChild>
        </w:div>
        <w:div w:id="1623269895">
          <w:marLeft w:val="0"/>
          <w:marRight w:val="0"/>
          <w:marTop w:val="0"/>
          <w:marBottom w:val="300"/>
          <w:divBdr>
            <w:top w:val="none" w:sz="0" w:space="0" w:color="auto"/>
            <w:left w:val="none" w:sz="0" w:space="0" w:color="auto"/>
            <w:bottom w:val="none" w:sz="0" w:space="0" w:color="auto"/>
            <w:right w:val="none" w:sz="0" w:space="0" w:color="auto"/>
          </w:divBdr>
        </w:div>
      </w:divsChild>
    </w:div>
    <w:div w:id="985551868">
      <w:bodyDiv w:val="1"/>
      <w:marLeft w:val="0"/>
      <w:marRight w:val="0"/>
      <w:marTop w:val="0"/>
      <w:marBottom w:val="0"/>
      <w:divBdr>
        <w:top w:val="none" w:sz="0" w:space="0" w:color="auto"/>
        <w:left w:val="none" w:sz="0" w:space="0" w:color="auto"/>
        <w:bottom w:val="none" w:sz="0" w:space="0" w:color="auto"/>
        <w:right w:val="none" w:sz="0" w:space="0" w:color="auto"/>
      </w:divBdr>
    </w:div>
    <w:div w:id="1367675041">
      <w:bodyDiv w:val="1"/>
      <w:marLeft w:val="0"/>
      <w:marRight w:val="0"/>
      <w:marTop w:val="0"/>
      <w:marBottom w:val="0"/>
      <w:divBdr>
        <w:top w:val="none" w:sz="0" w:space="0" w:color="auto"/>
        <w:left w:val="none" w:sz="0" w:space="0" w:color="auto"/>
        <w:bottom w:val="none" w:sz="0" w:space="0" w:color="auto"/>
        <w:right w:val="none" w:sz="0" w:space="0" w:color="auto"/>
      </w:divBdr>
    </w:div>
    <w:div w:id="1743722854">
      <w:bodyDiv w:val="1"/>
      <w:marLeft w:val="0"/>
      <w:marRight w:val="0"/>
      <w:marTop w:val="0"/>
      <w:marBottom w:val="0"/>
      <w:divBdr>
        <w:top w:val="none" w:sz="0" w:space="0" w:color="auto"/>
        <w:left w:val="none" w:sz="0" w:space="0" w:color="auto"/>
        <w:bottom w:val="none" w:sz="0" w:space="0" w:color="auto"/>
        <w:right w:val="none" w:sz="0" w:space="0" w:color="auto"/>
      </w:divBdr>
    </w:div>
    <w:div w:id="1764841016">
      <w:bodyDiv w:val="1"/>
      <w:marLeft w:val="0"/>
      <w:marRight w:val="0"/>
      <w:marTop w:val="0"/>
      <w:marBottom w:val="0"/>
      <w:divBdr>
        <w:top w:val="none" w:sz="0" w:space="0" w:color="auto"/>
        <w:left w:val="none" w:sz="0" w:space="0" w:color="auto"/>
        <w:bottom w:val="none" w:sz="0" w:space="0" w:color="auto"/>
        <w:right w:val="none" w:sz="0" w:space="0" w:color="auto"/>
      </w:divBdr>
      <w:divsChild>
        <w:div w:id="1951735553">
          <w:marLeft w:val="0"/>
          <w:marRight w:val="0"/>
          <w:marTop w:val="0"/>
          <w:marBottom w:val="0"/>
          <w:divBdr>
            <w:top w:val="none" w:sz="0" w:space="0" w:color="auto"/>
            <w:left w:val="none" w:sz="0" w:space="0" w:color="auto"/>
            <w:bottom w:val="none" w:sz="0" w:space="0" w:color="auto"/>
            <w:right w:val="none" w:sz="0" w:space="0" w:color="auto"/>
          </w:divBdr>
        </w:div>
      </w:divsChild>
    </w:div>
    <w:div w:id="1801529056">
      <w:bodyDiv w:val="1"/>
      <w:marLeft w:val="0"/>
      <w:marRight w:val="0"/>
      <w:marTop w:val="0"/>
      <w:marBottom w:val="0"/>
      <w:divBdr>
        <w:top w:val="none" w:sz="0" w:space="0" w:color="auto"/>
        <w:left w:val="none" w:sz="0" w:space="0" w:color="auto"/>
        <w:bottom w:val="none" w:sz="0" w:space="0" w:color="auto"/>
        <w:right w:val="none" w:sz="0" w:space="0" w:color="auto"/>
      </w:divBdr>
    </w:div>
    <w:div w:id="1896426917">
      <w:bodyDiv w:val="1"/>
      <w:marLeft w:val="0"/>
      <w:marRight w:val="0"/>
      <w:marTop w:val="0"/>
      <w:marBottom w:val="0"/>
      <w:divBdr>
        <w:top w:val="none" w:sz="0" w:space="0" w:color="auto"/>
        <w:left w:val="none" w:sz="0" w:space="0" w:color="auto"/>
        <w:bottom w:val="none" w:sz="0" w:space="0" w:color="auto"/>
        <w:right w:val="none" w:sz="0" w:space="0" w:color="auto"/>
      </w:divBdr>
      <w:divsChild>
        <w:div w:id="649675647">
          <w:marLeft w:val="0"/>
          <w:marRight w:val="0"/>
          <w:marTop w:val="0"/>
          <w:marBottom w:val="0"/>
          <w:divBdr>
            <w:top w:val="none" w:sz="0" w:space="0" w:color="auto"/>
            <w:left w:val="none" w:sz="0" w:space="0" w:color="auto"/>
            <w:bottom w:val="none" w:sz="0" w:space="0" w:color="auto"/>
            <w:right w:val="none" w:sz="0" w:space="0" w:color="auto"/>
          </w:divBdr>
          <w:divsChild>
            <w:div w:id="1676876499">
              <w:marLeft w:val="0"/>
              <w:marRight w:val="0"/>
              <w:marTop w:val="0"/>
              <w:marBottom w:val="0"/>
              <w:divBdr>
                <w:top w:val="none" w:sz="0" w:space="0" w:color="auto"/>
                <w:left w:val="none" w:sz="0" w:space="0" w:color="auto"/>
                <w:bottom w:val="none" w:sz="0" w:space="0" w:color="auto"/>
                <w:right w:val="none" w:sz="0" w:space="0" w:color="auto"/>
              </w:divBdr>
            </w:div>
          </w:divsChild>
        </w:div>
        <w:div w:id="871696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thrombosisadviser.com/en/professionals/knowledge-base/stroke-prevention/special-populations/worsening-renal-function"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mayoclinic.org/tests-procedures/cardiac-ablation/about/pac-20384993"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A327F3-B6D2-4F7A-B0F6-229684AC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12016</Words>
  <Characters>75703</Characters>
  <Application>Microsoft Office Word</Application>
  <DocSecurity>0</DocSecurity>
  <Lines>630</Lines>
  <Paragraphs>175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omi.al</Company>
  <LinksUpToDate>false</LinksUpToDate>
  <CharactersWithSpaces>87544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Alba Themeli</dc:creator>
  <cp:keywords/>
  <dc:description/>
  <cp:lastModifiedBy>Themeli, Alba</cp:lastModifiedBy>
  <cp:revision>2</cp:revision>
  <cp:lastPrinted>2021-11-18T12:07:00Z</cp:lastPrinted>
  <dcterms:created xsi:type="dcterms:W3CDTF">2023-04-14T11:08:00Z</dcterms:created>
  <dcterms:modified xsi:type="dcterms:W3CDTF">2023-04-14T11:08:00Z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50223-87a8-40c3-9eb2-432606efca2a_Enabled">
    <vt:lpwstr>true</vt:lpwstr>
  </property>
  <property fmtid="{D5CDD505-2E9C-101B-9397-08002B2CF9AE}" pid="3" name="MSIP_Label_7f850223-87a8-40c3-9eb2-432606efca2a_SetDate">
    <vt:lpwstr>2021-12-14T13:17:39Z</vt:lpwstr>
  </property>
  <property fmtid="{D5CDD505-2E9C-101B-9397-08002B2CF9AE}" pid="4" name="MSIP_Label_7f850223-87a8-40c3-9eb2-432606efca2a_Method">
    <vt:lpwstr>Standard</vt:lpwstr>
  </property>
  <property fmtid="{D5CDD505-2E9C-101B-9397-08002B2CF9AE}" pid="5" name="MSIP_Label_7f850223-87a8-40c3-9eb2-432606efca2a_Name">
    <vt:lpwstr>7f850223-87a8-40c3-9eb2-432606efca2a</vt:lpwstr>
  </property>
  <property fmtid="{D5CDD505-2E9C-101B-9397-08002B2CF9AE}" pid="6" name="MSIP_Label_7f850223-87a8-40c3-9eb2-432606efca2a_SiteId">
    <vt:lpwstr>fcb2b37b-5da0-466b-9b83-0014b67a7c78</vt:lpwstr>
  </property>
  <property fmtid="{D5CDD505-2E9C-101B-9397-08002B2CF9AE}" pid="7" name="MSIP_Label_7f850223-87a8-40c3-9eb2-432606efca2a_ActionId">
    <vt:lpwstr>4f76f58e-011e-4c6f-8d53-a8f2ccedb19d</vt:lpwstr>
  </property>
  <property fmtid="{D5CDD505-2E9C-101B-9397-08002B2CF9AE}" pid="8" name="MSIP_Label_7f850223-87a8-40c3-9eb2-432606efca2a_ContentBits">
    <vt:lpwstr>0</vt:lpwstr>
  </property>
</Properties>
</file>